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3683" w:right="3675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BAŞVURU ŞARTLARI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107" w:hanging="360"/>
        <w:jc w:val="both"/>
        <w:rPr>
          <w:sz w:val="24"/>
        </w:rPr>
      </w:pPr>
      <w:r>
        <w:rPr>
          <w:sz w:val="24"/>
        </w:rPr>
        <w:t xml:space="preserve">Dilekçe ve ekleri, hastanemiz evrak servisinden tarih sayı alınarak, Etik Kurul Sekretaryasına ulaştırılmalıdır.Dilekçenin adres kısmına koordinatör / sorumlu ve sorumlu araştırmacının iletişim bilgileri de yazılmalıdır. </w:t>
      </w:r>
      <w:r>
        <w:rPr>
          <w:spacing w:val="-4"/>
          <w:sz w:val="24"/>
        </w:rPr>
        <w:t xml:space="preserve">Ayrıca </w:t>
      </w:r>
      <w:r>
        <w:rPr>
          <w:sz w:val="24"/>
        </w:rPr>
        <w:t>dilekçeye, Ek: Araştırma Dosyası (1 klasör)</w:t>
      </w:r>
      <w:r>
        <w:rPr>
          <w:spacing w:val="-1"/>
          <w:sz w:val="24"/>
        </w:rPr>
        <w:t xml:space="preserve"> </w:t>
      </w:r>
      <w:r>
        <w:rPr>
          <w:sz w:val="24"/>
        </w:rPr>
        <w:t>yazılmalıdır.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109" w:hanging="360"/>
        <w:jc w:val="both"/>
        <w:rPr>
          <w:sz w:val="24"/>
        </w:rPr>
      </w:pPr>
      <w:r>
        <w:rPr>
          <w:sz w:val="24"/>
        </w:rPr>
        <w:t>Özgeçmiş formu (Koordinatör /sorumlu, yardımcı araştırmacı varsa destekleyici, eksiksiz tüm araştırıcılar için doldurulmalıdır.)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Başvuru formu (çalışmanın türüne uygun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olmalıdır.)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Asgari Bilgilendirilmiş Gönüllü (katılımcı) Olur (rıza) Formu (BGOF) Örneği</w:t>
      </w:r>
      <w:r>
        <w:rPr>
          <w:spacing w:val="-16"/>
          <w:sz w:val="24"/>
        </w:rPr>
        <w:t xml:space="preserve"> </w:t>
      </w:r>
      <w:r>
        <w:rPr>
          <w:sz w:val="24"/>
        </w:rPr>
        <w:t>olmalıdır.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Araştırma Bütçe Formu eksiksiz bir şekilde</w:t>
      </w:r>
      <w:r>
        <w:rPr>
          <w:spacing w:val="-5"/>
          <w:sz w:val="24"/>
        </w:rPr>
        <w:t xml:space="preserve"> </w:t>
      </w:r>
      <w:r>
        <w:rPr>
          <w:sz w:val="24"/>
        </w:rPr>
        <w:t>doldurulmalıdır.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109" w:hanging="360"/>
        <w:jc w:val="both"/>
        <w:rPr>
          <w:sz w:val="24"/>
        </w:rPr>
      </w:pPr>
      <w:r>
        <w:rPr>
          <w:sz w:val="24"/>
        </w:rPr>
        <w:t xml:space="preserve">Araştırma Protokolü: Klinik araştırmanın amacını, tasarımını, metodolojisini, uygulanacak istatistiksel yöntemleri ve araştırmaya ait düzenlemeleri detaylı olarak tanımlayan belgedir (Yürürlükte olan Klinik Araştırmalar Hakkında Yönetmeliğin </w:t>
      </w:r>
      <w:r>
        <w:rPr>
          <w:spacing w:val="-3"/>
          <w:sz w:val="24"/>
        </w:rPr>
        <w:t xml:space="preserve">Tanımlar </w:t>
      </w:r>
      <w:r>
        <w:rPr>
          <w:sz w:val="24"/>
        </w:rPr>
        <w:t>başlıklı 4 üncü maddesinin( 1/d) bendinde açıklanmıştır). Amaç ve yöntem yeterli şekilde sunulmalı ve çalışma sonuçlarının değerlendirileceği istatistiksel yöntemler de yer</w:t>
      </w:r>
      <w:r>
        <w:rPr>
          <w:spacing w:val="-11"/>
          <w:sz w:val="24"/>
        </w:rPr>
        <w:t xml:space="preserve"> </w:t>
      </w:r>
      <w:r>
        <w:rPr>
          <w:sz w:val="24"/>
        </w:rPr>
        <w:t>almalıdır.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 xml:space="preserve">Araştırma Protokol Numarası ve </w:t>
      </w:r>
      <w:r>
        <w:rPr>
          <w:spacing w:val="-4"/>
          <w:sz w:val="24"/>
        </w:rPr>
        <w:t>Tarihi</w:t>
      </w:r>
      <w:r>
        <w:rPr>
          <w:spacing w:val="-7"/>
          <w:sz w:val="24"/>
        </w:rPr>
        <w:t xml:space="preserve"> </w:t>
      </w:r>
      <w:r>
        <w:rPr>
          <w:sz w:val="24"/>
        </w:rPr>
        <w:t>olmalıdır.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Literatür olmalıdır.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Dünya Tıp Birliği Helsinki Bildirgesi (Güncel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olmalıdır).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rFonts w:ascii="Tahoma" w:hAnsi="Tahoma"/>
          <w:sz w:val="18"/>
        </w:rPr>
      </w:pPr>
      <w:r>
        <w:rPr>
          <w:sz w:val="24"/>
        </w:rPr>
        <w:t>.Dosyalar toplantı tarihinden en az üç (3) iş günü veya Bir (1) hafta önce teslim</w:t>
      </w:r>
      <w:r>
        <w:rPr>
          <w:spacing w:val="-31"/>
          <w:sz w:val="24"/>
        </w:rPr>
        <w:t xml:space="preserve"> </w:t>
      </w:r>
      <w:r>
        <w:rPr>
          <w:sz w:val="24"/>
        </w:rPr>
        <w:t>edilmelidir.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0" w:hanging="361"/>
        <w:jc w:val="both"/>
        <w:rPr>
          <w:sz w:val="24"/>
        </w:rPr>
      </w:pPr>
      <w:r>
        <w:rPr>
          <w:sz w:val="24"/>
        </w:rPr>
        <w:t>Başvuru sayısındaki yoğunluğa göre gündeme alınma tarihi</w:t>
      </w:r>
      <w:r>
        <w:rPr>
          <w:spacing w:val="-5"/>
          <w:sz w:val="24"/>
        </w:rPr>
        <w:t xml:space="preserve"> </w:t>
      </w:r>
      <w:r>
        <w:rPr>
          <w:sz w:val="24"/>
        </w:rPr>
        <w:t>değişebilir.</w:t>
      </w:r>
    </w:p>
    <w:p>
      <w:pPr>
        <w:pStyle w:val="ListParagraph"/>
        <w:numPr>
          <w:ilvl w:val="0"/>
          <w:numId w:val="2"/>
        </w:numPr>
        <w:tabs>
          <w:tab w:val="left" w:pos="836" w:leader="none"/>
        </w:tabs>
        <w:spacing w:lineRule="auto" w:line="240" w:before="120" w:after="0"/>
        <w:ind w:left="836" w:right="116" w:hanging="360"/>
        <w:jc w:val="both"/>
        <w:rPr>
          <w:sz w:val="24"/>
        </w:rPr>
      </w:pPr>
      <w:r>
        <w:rPr>
          <w:sz w:val="24"/>
        </w:rPr>
        <w:t>Çalışmanın destekleyicisi varsa (firma vb.) belgeleri eklenmeli, bütçe formu elle doldurularak ıslak imzalı olarak</w:t>
      </w:r>
      <w:r>
        <w:rPr>
          <w:spacing w:val="-1"/>
          <w:sz w:val="24"/>
        </w:rPr>
        <w:t xml:space="preserve"> </w:t>
      </w:r>
      <w:r>
        <w:rPr>
          <w:sz w:val="24"/>
        </w:rPr>
        <w:t>verilmelidir.</w:t>
      </w:r>
    </w:p>
    <w:p>
      <w:pPr>
        <w:pStyle w:val="ListParagraph"/>
        <w:numPr>
          <w:ilvl w:val="0"/>
          <w:numId w:val="2"/>
        </w:numPr>
        <w:tabs>
          <w:tab w:val="left" w:pos="1528" w:leader="none"/>
        </w:tabs>
        <w:spacing w:lineRule="auto" w:line="480" w:before="0" w:after="0"/>
        <w:jc w:val="left"/>
        <w:rPr/>
      </w:pPr>
      <w:r>
        <w:rPr>
          <w:sz w:val="24"/>
        </w:rPr>
        <w:t xml:space="preserve">Bütün araştırma dosyası pdf olarak da sunulmalıdır, email atılması yeterlidir.(e-mail adresi hanüz aktif değildir. Aktifleşene kadar </w:t>
      </w:r>
      <w:r>
        <w:rPr>
          <w:sz w:val="24"/>
        </w:rPr>
        <w:t>CD</w:t>
      </w:r>
      <w:r>
        <w:rPr>
          <w:sz w:val="24"/>
        </w:rPr>
        <w:t xml:space="preserve"> olarak getir</w:t>
      </w:r>
      <w:r>
        <w:rPr>
          <w:sz w:val="24"/>
        </w:rPr>
        <w:t>il</w:t>
      </w:r>
      <w:r>
        <w:rPr>
          <w:sz w:val="24"/>
        </w:rPr>
        <w:t>mesi uygundur.)</w:t>
      </w:r>
    </w:p>
    <w:p>
      <w:pPr>
        <w:pStyle w:val="MetinGvdesi"/>
        <w:spacing w:before="0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BelgeBal"/>
        <w:rPr>
          <w:u w:val="none"/>
        </w:rPr>
      </w:pPr>
      <w:r>
        <w:rPr>
          <w:u w:val="single"/>
        </w:rPr>
        <w:t>BAŞVURULARIN;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19" w:after="0"/>
        <w:ind w:left="115" w:right="111" w:hanging="0"/>
        <w:jc w:val="both"/>
        <w:rPr>
          <w:sz w:val="24"/>
        </w:rPr>
      </w:pPr>
      <w:r>
        <w:rPr>
          <w:sz w:val="24"/>
        </w:rPr>
        <w:t>Klinik Araştırmalarda Etik Kurula Başvuru Şekline İlişkin Kılavuz, İyi Klinik Uygulamaları Kılavuzu ve Klinik Araştırmalar Hakkında</w:t>
      </w:r>
      <w:r>
        <w:rPr>
          <w:spacing w:val="-46"/>
          <w:sz w:val="24"/>
        </w:rPr>
        <w:t xml:space="preserve"> </w:t>
      </w:r>
      <w:r>
        <w:rPr>
          <w:sz w:val="24"/>
        </w:rPr>
        <w:t>Yönetmelik’e uygun olarak yapılması gerekmektedir.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297" w:right="0" w:hanging="182"/>
        <w:jc w:val="both"/>
        <w:rPr>
          <w:sz w:val="24"/>
        </w:rPr>
      </w:pPr>
      <w:r>
        <w:rPr>
          <w:sz w:val="24"/>
        </w:rPr>
        <w:t>Dilekçe, başvuru formu ve diğer belgeler sıralı olarak başvuru dosyasında</w:t>
      </w:r>
      <w:r>
        <w:rPr>
          <w:spacing w:val="-17"/>
          <w:sz w:val="24"/>
        </w:rPr>
        <w:t xml:space="preserve"> </w:t>
      </w:r>
      <w:r>
        <w:rPr>
          <w:sz w:val="24"/>
        </w:rPr>
        <w:t>düzenlenmelidir.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115" w:right="102" w:hanging="0"/>
        <w:jc w:val="both"/>
        <w:rPr/>
      </w:pPr>
      <w:r>
        <w:rPr>
          <w:sz w:val="24"/>
        </w:rPr>
        <w:t>Araştırma başvurularının güncel başvuru formları kullanılarak sitemizden veya</w:t>
      </w:r>
      <w:r>
        <w:rPr>
          <w:color w:val="00007F"/>
          <w:sz w:val="24"/>
        </w:rPr>
        <w:t xml:space="preserve"> </w:t>
      </w:r>
      <w:hyperlink r:id="rId2">
        <w:r>
          <w:rPr>
            <w:rStyle w:val="NternetBalants"/>
            <w:color w:val="00007F"/>
            <w:spacing w:val="-3"/>
            <w:sz w:val="24"/>
            <w:u w:val="single" w:color="00007F"/>
          </w:rPr>
          <w:t>www.titck.gov.tr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adresinden 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115" w:right="109" w:hanging="0"/>
        <w:jc w:val="both"/>
        <w:rPr>
          <w:sz w:val="24"/>
        </w:rPr>
      </w:pPr>
      <w:r>
        <w:rPr>
          <w:sz w:val="24"/>
        </w:rPr>
        <w:t>Etik kurul sekretaryası tarafından şekilsel olarak yapılan ön inceleme sonrasında ilgili mevzuatta belirtilen ve başvuru formlarına uygun olarak yapılan başvurular işleme konulur(Etik Kurul Standart Çalışma Yöntemi Esasları</w:t>
      </w:r>
      <w:r>
        <w:rPr>
          <w:spacing w:val="-11"/>
          <w:sz w:val="24"/>
        </w:rPr>
        <w:t xml:space="preserve"> </w:t>
      </w:r>
      <w:r>
        <w:rPr>
          <w:sz w:val="24"/>
        </w:rPr>
        <w:t>7.8.)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115" w:right="114" w:hanging="0"/>
        <w:jc w:val="both"/>
        <w:rPr>
          <w:sz w:val="24"/>
        </w:rPr>
      </w:pPr>
      <w:r>
        <w:rPr>
          <w:sz w:val="24"/>
        </w:rPr>
        <w:t>Başvuru Formu ekindeki belgeler, imza, tarih vb. eksiklikleri olan başvuru dosyaları kabul edilmemektedir.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297" w:right="0" w:hanging="182"/>
        <w:jc w:val="both"/>
        <w:rPr>
          <w:sz w:val="24"/>
        </w:rPr>
      </w:pPr>
      <w:r>
        <w:rPr>
          <w:sz w:val="24"/>
        </w:rPr>
        <w:t>Başvuru şartları tam olan araştırma dosyaları toplantı gündemine</w:t>
      </w:r>
      <w:r>
        <w:rPr>
          <w:spacing w:val="-5"/>
          <w:sz w:val="24"/>
        </w:rPr>
        <w:t xml:space="preserve"> </w:t>
      </w:r>
      <w:r>
        <w:rPr>
          <w:sz w:val="24"/>
        </w:rPr>
        <w:t>alınacaktır.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0" w:after="0"/>
        <w:ind w:left="115" w:right="104" w:hanging="0"/>
        <w:jc w:val="both"/>
        <w:rPr>
          <w:sz w:val="24"/>
        </w:rPr>
      </w:pPr>
      <w:r>
        <w:rPr>
          <w:spacing w:val="-4"/>
          <w:sz w:val="24"/>
        </w:rPr>
        <w:t xml:space="preserve">Yapılacak </w:t>
      </w:r>
      <w:r>
        <w:rPr>
          <w:sz w:val="24"/>
        </w:rPr>
        <w:t>olan bütün başvurularda; daha önce başka bir etik kurula başvuru yapıldı ise, bu başvuru belgesinin sorumlu araştırmacı tarafından imzalanarak başvuru dosyasına eklenmesi gerekmektedir.</w:t>
      </w:r>
    </w:p>
    <w:p>
      <w:pPr>
        <w:pStyle w:val="ListParagraph"/>
        <w:numPr>
          <w:ilvl w:val="0"/>
          <w:numId w:val="1"/>
        </w:numPr>
        <w:tabs>
          <w:tab w:val="left" w:pos="297" w:leader="none"/>
        </w:tabs>
        <w:spacing w:lineRule="auto" w:line="240" w:before="121" w:after="0"/>
        <w:ind w:left="115" w:right="108" w:hanging="0"/>
        <w:jc w:val="both"/>
        <w:rPr/>
      </w:pPr>
      <w:r>
        <w:rPr>
          <w:sz w:val="24"/>
        </w:rPr>
        <w:t xml:space="preserve">Etik kurula yapılacak ilk başvuruda kurumun belirlediği ve internet sayfasında yayınladığı başvuru ücretini geçmeyecek şekilde Etik kurul’un kurulduğu kurumun/kuruluşun gösterdiği adrese başvuru ücreti yatırılır ve dekontun aslı ve bir örneği başvuru dosyasına </w:t>
      </w:r>
      <w:r>
        <w:rPr>
          <w:spacing w:val="-3"/>
          <w:sz w:val="24"/>
        </w:rPr>
        <w:t xml:space="preserve">eklenir. </w:t>
      </w:r>
      <w:r>
        <w:rPr>
          <w:sz w:val="24"/>
        </w:rPr>
        <w:t>Uzmanlık tezleri veya akademik amaçlı araştırmalar için başvuru ücreti talep edilmez.(Etik Kurul Standart Çalışma Yöntemi Esasları</w:t>
      </w:r>
      <w:r>
        <w:rPr>
          <w:spacing w:val="1"/>
          <w:sz w:val="24"/>
        </w:rPr>
        <w:t xml:space="preserve"> </w:t>
      </w:r>
      <w:r>
        <w:rPr>
          <w:sz w:val="24"/>
        </w:rPr>
        <w:t>7.2.)</w:t>
      </w:r>
    </w:p>
    <w:sectPr>
      <w:type w:val="nextPage"/>
      <w:pgSz w:w="11906" w:h="16838"/>
      <w:pgMar w:left="1020" w:right="102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6" w:hanging="181"/>
      </w:pPr>
      <w:rPr>
        <w:sz w:val="24"/>
        <w:b/>
        <w:szCs w:val="22"/>
        <w:bCs/>
        <w:w w:val="100"/>
        <w:rFonts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94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2068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042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016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4990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5964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6938" w:hanging="181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7912" w:hanging="181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836" w:hanging="360"/>
      </w:pPr>
      <w:rPr>
        <w:sz w:val="24"/>
        <w:spacing w:val="-29"/>
        <w:w w:val="100"/>
        <w:rFonts w:ascii="Tahoma" w:hAnsi="Tahoma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742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2644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546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448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5350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6252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7154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8056" w:hanging="360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4"/>
      <w:szCs w:val="22"/>
      <w:lang w:val="tr-TR" w:eastAsia="en-US" w:bidi="ar-SA"/>
    </w:rPr>
  </w:style>
  <w:style w:type="character" w:styleId="ListLabel2">
    <w:name w:val="ListLabel 2"/>
    <w:qFormat/>
    <w:rPr>
      <w:lang w:val="tr-TR" w:eastAsia="en-US" w:bidi="ar-SA"/>
    </w:rPr>
  </w:style>
  <w:style w:type="character" w:styleId="ListLabel3">
    <w:name w:val="ListLabel 3"/>
    <w:qFormat/>
    <w:rPr>
      <w:lang w:val="tr-TR" w:eastAsia="en-US" w:bidi="ar-SA"/>
    </w:rPr>
  </w:style>
  <w:style w:type="character" w:styleId="ListLabel4">
    <w:name w:val="ListLabel 4"/>
    <w:qFormat/>
    <w:rPr>
      <w:lang w:val="tr-TR" w:eastAsia="en-US" w:bidi="ar-SA"/>
    </w:rPr>
  </w:style>
  <w:style w:type="character" w:styleId="ListLabel5">
    <w:name w:val="ListLabel 5"/>
    <w:qFormat/>
    <w:rPr>
      <w:lang w:val="tr-TR" w:eastAsia="en-US" w:bidi="ar-SA"/>
    </w:rPr>
  </w:style>
  <w:style w:type="character" w:styleId="ListLabel6">
    <w:name w:val="ListLabel 6"/>
    <w:qFormat/>
    <w:rPr>
      <w:lang w:val="tr-TR" w:eastAsia="en-US" w:bidi="ar-SA"/>
    </w:rPr>
  </w:style>
  <w:style w:type="character" w:styleId="ListLabel7">
    <w:name w:val="ListLabel 7"/>
    <w:qFormat/>
    <w:rPr>
      <w:lang w:val="tr-TR" w:eastAsia="en-US" w:bidi="ar-SA"/>
    </w:rPr>
  </w:style>
  <w:style w:type="character" w:styleId="ListLabel8">
    <w:name w:val="ListLabel 8"/>
    <w:qFormat/>
    <w:rPr>
      <w:lang w:val="tr-TR" w:eastAsia="en-US" w:bidi="ar-SA"/>
    </w:rPr>
  </w:style>
  <w:style w:type="character" w:styleId="ListLabel9">
    <w:name w:val="ListLabel 9"/>
    <w:qFormat/>
    <w:rPr>
      <w:lang w:val="tr-TR" w:eastAsia="en-US" w:bidi="ar-SA"/>
    </w:rPr>
  </w:style>
  <w:style w:type="character" w:styleId="ListLabel10">
    <w:name w:val="ListLabel 10"/>
    <w:qFormat/>
    <w:rPr>
      <w:rFonts w:ascii="Tahoma" w:hAnsi="Tahoma"/>
      <w:spacing w:val="-29"/>
      <w:w w:val="100"/>
      <w:sz w:val="24"/>
      <w:lang w:val="tr-TR" w:eastAsia="en-US" w:bidi="ar-SA"/>
    </w:rPr>
  </w:style>
  <w:style w:type="character" w:styleId="ListLabel11">
    <w:name w:val="ListLabel 11"/>
    <w:qFormat/>
    <w:rPr>
      <w:lang w:val="tr-TR" w:eastAsia="en-US" w:bidi="ar-SA"/>
    </w:rPr>
  </w:style>
  <w:style w:type="character" w:styleId="ListLabel12">
    <w:name w:val="ListLabel 12"/>
    <w:qFormat/>
    <w:rPr>
      <w:lang w:val="tr-TR" w:eastAsia="en-US" w:bidi="ar-SA"/>
    </w:rPr>
  </w:style>
  <w:style w:type="character" w:styleId="ListLabel13">
    <w:name w:val="ListLabel 13"/>
    <w:qFormat/>
    <w:rPr>
      <w:lang w:val="tr-TR" w:eastAsia="en-US" w:bidi="ar-SA"/>
    </w:rPr>
  </w:style>
  <w:style w:type="character" w:styleId="ListLabel14">
    <w:name w:val="ListLabel 14"/>
    <w:qFormat/>
    <w:rPr>
      <w:lang w:val="tr-TR" w:eastAsia="en-US" w:bidi="ar-SA"/>
    </w:rPr>
  </w:style>
  <w:style w:type="character" w:styleId="ListLabel15">
    <w:name w:val="ListLabel 15"/>
    <w:qFormat/>
    <w:rPr>
      <w:lang w:val="tr-TR" w:eastAsia="en-US" w:bidi="ar-SA"/>
    </w:rPr>
  </w:style>
  <w:style w:type="character" w:styleId="ListLabel16">
    <w:name w:val="ListLabel 16"/>
    <w:qFormat/>
    <w:rPr>
      <w:lang w:val="tr-TR" w:eastAsia="en-US" w:bidi="ar-SA"/>
    </w:rPr>
  </w:style>
  <w:style w:type="character" w:styleId="ListLabel17">
    <w:name w:val="ListLabel 17"/>
    <w:qFormat/>
    <w:rPr>
      <w:lang w:val="tr-TR" w:eastAsia="en-US" w:bidi="ar-SA"/>
    </w:rPr>
  </w:style>
  <w:style w:type="character" w:styleId="ListLabel18">
    <w:name w:val="ListLabel 18"/>
    <w:qFormat/>
    <w:rPr>
      <w:lang w:val="tr-TR" w:eastAsia="en-US" w:bidi="ar-SA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eastAsia="Times New Roman" w:cs="Times New Roman"/>
      <w:b/>
      <w:bCs/>
      <w:w w:val="100"/>
      <w:sz w:val="24"/>
      <w:szCs w:val="22"/>
      <w:lang w:val="tr-TR" w:eastAsia="en-US" w:bidi="ar-SA"/>
    </w:rPr>
  </w:style>
  <w:style w:type="character" w:styleId="ListLabel20">
    <w:name w:val="ListLabel 20"/>
    <w:qFormat/>
    <w:rPr>
      <w:rFonts w:cs="Symbol"/>
      <w:lang w:val="tr-TR" w:eastAsia="en-US" w:bidi="ar-SA"/>
    </w:rPr>
  </w:style>
  <w:style w:type="character" w:styleId="ListLabel21">
    <w:name w:val="ListLabel 21"/>
    <w:qFormat/>
    <w:rPr>
      <w:rFonts w:cs="Symbol"/>
      <w:lang w:val="tr-TR" w:eastAsia="en-US" w:bidi="ar-SA"/>
    </w:rPr>
  </w:style>
  <w:style w:type="character" w:styleId="ListLabel22">
    <w:name w:val="ListLabel 22"/>
    <w:qFormat/>
    <w:rPr>
      <w:rFonts w:cs="Symbol"/>
      <w:lang w:val="tr-TR" w:eastAsia="en-US" w:bidi="ar-SA"/>
    </w:rPr>
  </w:style>
  <w:style w:type="character" w:styleId="ListLabel23">
    <w:name w:val="ListLabel 23"/>
    <w:qFormat/>
    <w:rPr>
      <w:rFonts w:cs="Symbol"/>
      <w:lang w:val="tr-TR" w:eastAsia="en-US" w:bidi="ar-SA"/>
    </w:rPr>
  </w:style>
  <w:style w:type="character" w:styleId="ListLabel24">
    <w:name w:val="ListLabel 24"/>
    <w:qFormat/>
    <w:rPr>
      <w:rFonts w:cs="Symbol"/>
      <w:lang w:val="tr-TR" w:eastAsia="en-US" w:bidi="ar-SA"/>
    </w:rPr>
  </w:style>
  <w:style w:type="character" w:styleId="ListLabel25">
    <w:name w:val="ListLabel 25"/>
    <w:qFormat/>
    <w:rPr>
      <w:rFonts w:cs="Symbol"/>
      <w:lang w:val="tr-TR" w:eastAsia="en-US" w:bidi="ar-SA"/>
    </w:rPr>
  </w:style>
  <w:style w:type="character" w:styleId="ListLabel26">
    <w:name w:val="ListLabel 26"/>
    <w:qFormat/>
    <w:rPr>
      <w:rFonts w:cs="Symbol"/>
      <w:lang w:val="tr-TR" w:eastAsia="en-US" w:bidi="ar-SA"/>
    </w:rPr>
  </w:style>
  <w:style w:type="character" w:styleId="ListLabel27">
    <w:name w:val="ListLabel 27"/>
    <w:qFormat/>
    <w:rPr>
      <w:rFonts w:cs="Symbol"/>
      <w:lang w:val="tr-TR" w:eastAsia="en-US" w:bidi="ar-SA"/>
    </w:rPr>
  </w:style>
  <w:style w:type="character" w:styleId="ListLabel28">
    <w:name w:val="ListLabel 28"/>
    <w:qFormat/>
    <w:rPr>
      <w:rFonts w:ascii="Tahoma" w:hAnsi="Tahoma"/>
      <w:spacing w:val="-29"/>
      <w:w w:val="100"/>
      <w:sz w:val="24"/>
      <w:lang w:val="tr-TR" w:eastAsia="en-US" w:bidi="ar-SA"/>
    </w:rPr>
  </w:style>
  <w:style w:type="character" w:styleId="ListLabel29">
    <w:name w:val="ListLabel 29"/>
    <w:qFormat/>
    <w:rPr>
      <w:rFonts w:cs="Symbol"/>
      <w:lang w:val="tr-TR" w:eastAsia="en-US" w:bidi="ar-SA"/>
    </w:rPr>
  </w:style>
  <w:style w:type="character" w:styleId="ListLabel30">
    <w:name w:val="ListLabel 30"/>
    <w:qFormat/>
    <w:rPr>
      <w:rFonts w:cs="Symbol"/>
      <w:lang w:val="tr-TR" w:eastAsia="en-US" w:bidi="ar-SA"/>
    </w:rPr>
  </w:style>
  <w:style w:type="character" w:styleId="ListLabel31">
    <w:name w:val="ListLabel 31"/>
    <w:qFormat/>
    <w:rPr>
      <w:rFonts w:cs="Symbol"/>
      <w:lang w:val="tr-TR" w:eastAsia="en-US" w:bidi="ar-SA"/>
    </w:rPr>
  </w:style>
  <w:style w:type="character" w:styleId="ListLabel32">
    <w:name w:val="ListLabel 32"/>
    <w:qFormat/>
    <w:rPr>
      <w:rFonts w:cs="Symbol"/>
      <w:lang w:val="tr-TR" w:eastAsia="en-US" w:bidi="ar-SA"/>
    </w:rPr>
  </w:style>
  <w:style w:type="character" w:styleId="ListLabel33">
    <w:name w:val="ListLabel 33"/>
    <w:qFormat/>
    <w:rPr>
      <w:rFonts w:cs="Symbol"/>
      <w:lang w:val="tr-TR" w:eastAsia="en-US" w:bidi="ar-SA"/>
    </w:rPr>
  </w:style>
  <w:style w:type="character" w:styleId="ListLabel34">
    <w:name w:val="ListLabel 34"/>
    <w:qFormat/>
    <w:rPr>
      <w:rFonts w:cs="Symbol"/>
      <w:lang w:val="tr-TR" w:eastAsia="en-US" w:bidi="ar-SA"/>
    </w:rPr>
  </w:style>
  <w:style w:type="character" w:styleId="ListLabel35">
    <w:name w:val="ListLabel 35"/>
    <w:qFormat/>
    <w:rPr>
      <w:rFonts w:cs="Symbol"/>
      <w:lang w:val="tr-TR" w:eastAsia="en-US" w:bidi="ar-SA"/>
    </w:rPr>
  </w:style>
  <w:style w:type="character" w:styleId="ListLabel36">
    <w:name w:val="ListLabel 36"/>
    <w:qFormat/>
    <w:rPr>
      <w:rFonts w:cs="Symbol"/>
      <w:lang w:val="tr-TR" w:eastAsia="en-US" w:bidi="ar-SA"/>
    </w:rPr>
  </w:style>
  <w:style w:type="character" w:styleId="ListLabel37">
    <w:name w:val="ListLabel 37"/>
    <w:qFormat/>
    <w:rPr>
      <w:rFonts w:eastAsia="Times New Roman" w:cs="Times New Roman"/>
      <w:b/>
      <w:bCs/>
      <w:w w:val="100"/>
      <w:sz w:val="24"/>
      <w:szCs w:val="22"/>
      <w:lang w:val="tr-TR" w:eastAsia="en-US" w:bidi="ar-SA"/>
    </w:rPr>
  </w:style>
  <w:style w:type="character" w:styleId="ListLabel38">
    <w:name w:val="ListLabel 38"/>
    <w:qFormat/>
    <w:rPr>
      <w:rFonts w:cs="Symbol"/>
      <w:lang w:val="tr-TR" w:eastAsia="en-US" w:bidi="ar-SA"/>
    </w:rPr>
  </w:style>
  <w:style w:type="character" w:styleId="ListLabel39">
    <w:name w:val="ListLabel 39"/>
    <w:qFormat/>
    <w:rPr>
      <w:rFonts w:cs="Symbol"/>
      <w:lang w:val="tr-TR" w:eastAsia="en-US" w:bidi="ar-SA"/>
    </w:rPr>
  </w:style>
  <w:style w:type="character" w:styleId="ListLabel40">
    <w:name w:val="ListLabel 40"/>
    <w:qFormat/>
    <w:rPr>
      <w:rFonts w:cs="Symbol"/>
      <w:lang w:val="tr-TR" w:eastAsia="en-US" w:bidi="ar-SA"/>
    </w:rPr>
  </w:style>
  <w:style w:type="character" w:styleId="ListLabel41">
    <w:name w:val="ListLabel 41"/>
    <w:qFormat/>
    <w:rPr>
      <w:rFonts w:cs="Symbol"/>
      <w:lang w:val="tr-TR" w:eastAsia="en-US" w:bidi="ar-SA"/>
    </w:rPr>
  </w:style>
  <w:style w:type="character" w:styleId="ListLabel42">
    <w:name w:val="ListLabel 42"/>
    <w:qFormat/>
    <w:rPr>
      <w:rFonts w:cs="Symbol"/>
      <w:lang w:val="tr-TR" w:eastAsia="en-US" w:bidi="ar-SA"/>
    </w:rPr>
  </w:style>
  <w:style w:type="character" w:styleId="ListLabel43">
    <w:name w:val="ListLabel 43"/>
    <w:qFormat/>
    <w:rPr>
      <w:rFonts w:cs="Symbol"/>
      <w:lang w:val="tr-TR" w:eastAsia="en-US" w:bidi="ar-SA"/>
    </w:rPr>
  </w:style>
  <w:style w:type="character" w:styleId="ListLabel44">
    <w:name w:val="ListLabel 44"/>
    <w:qFormat/>
    <w:rPr>
      <w:rFonts w:cs="Symbol"/>
      <w:lang w:val="tr-TR" w:eastAsia="en-US" w:bidi="ar-SA"/>
    </w:rPr>
  </w:style>
  <w:style w:type="character" w:styleId="ListLabel45">
    <w:name w:val="ListLabel 45"/>
    <w:qFormat/>
    <w:rPr>
      <w:rFonts w:cs="Symbol"/>
      <w:lang w:val="tr-TR" w:eastAsia="en-US" w:bidi="ar-SA"/>
    </w:rPr>
  </w:style>
  <w:style w:type="character" w:styleId="ListLabel46">
    <w:name w:val="ListLabel 46"/>
    <w:qFormat/>
    <w:rPr>
      <w:rFonts w:ascii="Tahoma" w:hAnsi="Tahoma"/>
      <w:spacing w:val="-29"/>
      <w:w w:val="100"/>
      <w:sz w:val="24"/>
      <w:lang w:val="tr-TR" w:eastAsia="en-US" w:bidi="ar-SA"/>
    </w:rPr>
  </w:style>
  <w:style w:type="character" w:styleId="ListLabel47">
    <w:name w:val="ListLabel 47"/>
    <w:qFormat/>
    <w:rPr>
      <w:rFonts w:cs="Symbol"/>
      <w:lang w:val="tr-TR" w:eastAsia="en-US" w:bidi="ar-SA"/>
    </w:rPr>
  </w:style>
  <w:style w:type="character" w:styleId="ListLabel48">
    <w:name w:val="ListLabel 48"/>
    <w:qFormat/>
    <w:rPr>
      <w:rFonts w:cs="Symbol"/>
      <w:lang w:val="tr-TR" w:eastAsia="en-US" w:bidi="ar-SA"/>
    </w:rPr>
  </w:style>
  <w:style w:type="character" w:styleId="ListLabel49">
    <w:name w:val="ListLabel 49"/>
    <w:qFormat/>
    <w:rPr>
      <w:rFonts w:cs="Symbol"/>
      <w:lang w:val="tr-TR" w:eastAsia="en-US" w:bidi="ar-SA"/>
    </w:rPr>
  </w:style>
  <w:style w:type="character" w:styleId="ListLabel50">
    <w:name w:val="ListLabel 50"/>
    <w:qFormat/>
    <w:rPr>
      <w:rFonts w:cs="Symbol"/>
      <w:lang w:val="tr-TR" w:eastAsia="en-US" w:bidi="ar-SA"/>
    </w:rPr>
  </w:style>
  <w:style w:type="character" w:styleId="ListLabel51">
    <w:name w:val="ListLabel 51"/>
    <w:qFormat/>
    <w:rPr>
      <w:rFonts w:cs="Symbol"/>
      <w:lang w:val="tr-TR" w:eastAsia="en-US" w:bidi="ar-SA"/>
    </w:rPr>
  </w:style>
  <w:style w:type="character" w:styleId="ListLabel52">
    <w:name w:val="ListLabel 52"/>
    <w:qFormat/>
    <w:rPr>
      <w:rFonts w:cs="Symbol"/>
      <w:lang w:val="tr-TR" w:eastAsia="en-US" w:bidi="ar-SA"/>
    </w:rPr>
  </w:style>
  <w:style w:type="character" w:styleId="ListLabel53">
    <w:name w:val="ListLabel 53"/>
    <w:qFormat/>
    <w:rPr>
      <w:rFonts w:cs="Symbol"/>
      <w:lang w:val="tr-TR" w:eastAsia="en-US" w:bidi="ar-SA"/>
    </w:rPr>
  </w:style>
  <w:style w:type="character" w:styleId="ListLabel54">
    <w:name w:val="ListLabel 54"/>
    <w:qFormat/>
    <w:rPr>
      <w:rFonts w:cs="Symbol"/>
      <w:lang w:val="tr-TR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uiPriority w:val="1"/>
    <w:qFormat/>
    <w:pPr>
      <w:spacing w:before="120" w:after="0"/>
      <w:ind w:left="836" w:right="0" w:hanging="361"/>
      <w:jc w:val="both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elgeBal">
    <w:name w:val="Title"/>
    <w:basedOn w:val="Normal"/>
    <w:uiPriority w:val="1"/>
    <w:qFormat/>
    <w:pPr>
      <w:spacing w:before="218" w:after="0"/>
      <w:ind w:left="115" w:right="0" w:hanging="0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tr-TR" w:eastAsia="en-US" w:bidi="ar-SA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836" w:right="0" w:hanging="361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itck.gov.t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LibreOffice/5.3.7.2$Windows_X86_64 LibreOffice_project/6b8ed514a9f8b44d37a1b96673cbbdd077e24059</Application>
  <Pages>2</Pages>
  <Words>382</Words>
  <Characters>2775</Characters>
  <CharactersWithSpaces>3113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2020-11-23T07:03:17Z</dcterms:created>
  <dc:creator/>
  <dc:description/>
  <dc:language>tr-TR</dc:language>
  <cp:lastModifiedBy/>
  <dcterms:modified xsi:type="dcterms:W3CDTF">2020-11-23T11:46:15Z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