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mc:AlternateContent>
          <mc:Choice Requires="wps">
            <w:drawing>
              <wp:anchor behindDoc="1" distT="0" distB="0" distL="114300" distR="114300" simplePos="0" locked="0" layoutInCell="1" allowOverlap="1" relativeHeight="8">
                <wp:simplePos x="0" y="0"/>
                <wp:positionH relativeFrom="column">
                  <wp:posOffset>-803910</wp:posOffset>
                </wp:positionH>
                <wp:positionV relativeFrom="paragraph">
                  <wp:posOffset>-903605</wp:posOffset>
                </wp:positionV>
                <wp:extent cx="7354570" cy="10535920"/>
                <wp:effectExtent l="0" t="0" r="0" b="0"/>
                <wp:wrapNone/>
                <wp:docPr id="1" name="Dikdörtgen 17"/>
                <a:graphic xmlns:a="http://schemas.openxmlformats.org/drawingml/2006/main">
                  <a:graphicData uri="http://schemas.microsoft.com/office/word/2010/wordprocessingShape">
                    <wps:wsp>
                      <wps:cNvSpPr/>
                      <wps:spPr>
                        <a:xfrm>
                          <a:off x="0" y="0"/>
                          <a:ext cx="7354080" cy="10535400"/>
                        </a:xfrm>
                        <a:prstGeom prst="rect">
                          <a:avLst/>
                        </a:prstGeom>
                        <a:noFill/>
                        <a:ln w="28440">
                          <a:solidFill>
                            <a:srgbClr val="1f4d78"/>
                          </a:solidFill>
                          <a:round/>
                        </a:ln>
                      </wps:spPr>
                      <wps:style>
                        <a:lnRef idx="0"/>
                        <a:fillRef idx="0"/>
                        <a:effectRef idx="0"/>
                        <a:fontRef idx="minor"/>
                      </wps:style>
                      <wps:bodyPr/>
                    </wps:wsp>
                  </a:graphicData>
                </a:graphic>
              </wp:anchor>
            </w:drawing>
          </mc:Choice>
          <mc:Fallback>
            <w:pict>
              <v:rect id="shape_0" ID="Dikdörtgen 17" stroked="t" style="position:absolute;margin-left:-63.3pt;margin-top:-71.15pt;width:579pt;height:829.5pt">
                <w10:wrap type="none"/>
                <v:fill o:detectmouseclick="t" on="false"/>
                <v:stroke color="#1f4d78" weight="28440" joinstyle="round" endcap="flat"/>
              </v:rect>
            </w:pict>
          </mc:Fallback>
        </mc:AlternateContent>
      </w:r>
    </w:p>
    <w:p>
      <w:pPr>
        <w:pStyle w:val="Normal"/>
        <w:jc w:val="center"/>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1" allowOverlap="1" relativeHeight="9">
                <wp:simplePos x="0" y="0"/>
                <wp:positionH relativeFrom="column">
                  <wp:align>right</wp:align>
                </wp:positionH>
                <wp:positionV relativeFrom="paragraph">
                  <wp:posOffset>250190</wp:posOffset>
                </wp:positionV>
                <wp:extent cx="1470025" cy="1581785"/>
                <wp:effectExtent l="0" t="0" r="0" b="0"/>
                <wp:wrapSquare wrapText="bothSides"/>
                <wp:docPr id="2" name="Resim1"/>
                <a:graphic xmlns:a="http://schemas.openxmlformats.org/drawingml/2006/main">
                  <a:graphicData uri="http://schemas.microsoft.com/office/word/2010/wordprocessingShape">
                    <wps:wsp>
                      <wps:cNvSpPr/>
                      <wps:spPr>
                        <a:xfrm>
                          <a:off x="0" y="0"/>
                          <a:ext cx="1469520" cy="1581120"/>
                        </a:xfrm>
                        <a:prstGeom prst="rect">
                          <a:avLst/>
                        </a:prstGeom>
                        <a:noFill/>
                        <a:ln w="720">
                          <a:solidFill>
                            <a:srgbClr val="4472c4"/>
                          </a:solidFill>
                          <a:round/>
                        </a:ln>
                      </wps:spPr>
                      <wps:style>
                        <a:lnRef idx="0"/>
                        <a:fillRef idx="0"/>
                        <a:effectRef idx="0"/>
                        <a:fontRef idx="minor"/>
                      </wps:style>
                      <wps:txbx>
                        <w:txbxContent>
                          <w:p>
                            <w:pPr>
                              <w:pStyle w:val="Ereveerii"/>
                              <w:spacing w:before="0" w:after="160"/>
                              <w:jc w:val="center"/>
                              <w:rPr>
                                <w:color w:val="auto"/>
                              </w:rPr>
                            </w:pPr>
                            <w:r>
                              <w:rPr>
                                <w:color w:val="auto"/>
                                <w:sz w:val="32"/>
                                <w:szCs w:val="32"/>
                              </w:rPr>
                              <w:t>FOTOĞRAF</w:t>
                              <w:drawing>
                                <wp:inline distT="0" distB="0" distL="0" distR="0">
                                  <wp:extent cx="1539240" cy="1814195"/>
                                  <wp:effectExtent l="0" t="0" r="0" b="0"/>
                                  <wp:docPr id="4" name="Görüntü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örüntü1" descr=""/>
                                          <pic:cNvPicPr>
                                            <a:picLocks noChangeAspect="1" noChangeArrowheads="1"/>
                                          </pic:cNvPicPr>
                                        </pic:nvPicPr>
                                        <pic:blipFill>
                                          <a:blip r:embed="rId2"/>
                                          <a:stretch>
                                            <a:fillRect/>
                                          </a:stretch>
                                        </pic:blipFill>
                                        <pic:spPr bwMode="auto">
                                          <a:xfrm>
                                            <a:off x="0" y="0"/>
                                            <a:ext cx="1539240" cy="1814195"/>
                                          </a:xfrm>
                                          <a:prstGeom prst="rect">
                                            <a:avLst/>
                                          </a:prstGeom>
                                        </pic:spPr>
                                      </pic:pic>
                                    </a:graphicData>
                                  </a:graphic>
                                </wp:inline>
                              </w:drawing>
                            </w:r>
                          </w:p>
                        </w:txbxContent>
                      </wps:txbx>
                      <wps:bodyPr>
                        <a:noAutofit/>
                      </wps:bodyPr>
                    </wps:wsp>
                  </a:graphicData>
                </a:graphic>
              </wp:anchor>
            </w:drawing>
          </mc:Choice>
          <mc:Fallback>
            <w:pict>
              <v:rect id="shape_0" ID="Resim1" stroked="t" style="position:absolute;margin-left:336.5pt;margin-top:19.7pt;width:115.65pt;height:124.45pt;mso-position-horizontal:right">
                <w10:wrap type="square"/>
                <v:fill o:detectmouseclick="t" on="false"/>
                <v:stroke color="#4472c4" weight="720" joinstyle="round" endcap="flat"/>
                <v:textbox>
                  <w:txbxContent>
                    <w:p>
                      <w:pPr>
                        <w:pStyle w:val="Ereveerii"/>
                        <w:spacing w:before="0" w:after="160"/>
                        <w:jc w:val="center"/>
                        <w:rPr>
                          <w:color w:val="auto"/>
                        </w:rPr>
                      </w:pPr>
                      <w:r>
                        <w:rPr>
                          <w:color w:val="auto"/>
                          <w:sz w:val="32"/>
                          <w:szCs w:val="32"/>
                        </w:rPr>
                        <w:t>FOTOĞRAF</w:t>
                        <w:drawing>
                          <wp:inline distT="0" distB="0" distL="0" distR="0">
                            <wp:extent cx="1539240" cy="1814195"/>
                            <wp:effectExtent l="0" t="0" r="0" b="0"/>
                            <wp:docPr id="5" name="Görüntü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örüntü1" descr=""/>
                                    <pic:cNvPicPr>
                                      <a:picLocks noChangeAspect="1" noChangeArrowheads="1"/>
                                    </pic:cNvPicPr>
                                  </pic:nvPicPr>
                                  <pic:blipFill>
                                    <a:blip r:embed="rId2"/>
                                    <a:stretch>
                                      <a:fillRect/>
                                    </a:stretch>
                                  </pic:blipFill>
                                  <pic:spPr bwMode="auto">
                                    <a:xfrm>
                                      <a:off x="0" y="0"/>
                                      <a:ext cx="1539240" cy="1814195"/>
                                    </a:xfrm>
                                    <a:prstGeom prst="rect">
                                      <a:avLst/>
                                    </a:prstGeom>
                                  </pic:spPr>
                                </pic:pic>
                              </a:graphicData>
                            </a:graphic>
                          </wp:inline>
                        </w:drawing>
                      </w:r>
                    </w:p>
                  </w:txbxContent>
                </v:textbox>
              </v:rect>
            </w:pict>
          </mc:Fallback>
        </mc:AlternateContent>
      </w:r>
    </w:p>
    <w:p>
      <w:pPr>
        <w:pStyle w:val="Normal"/>
        <w:rPr/>
      </w:pPr>
      <w:r>
        <w:rPr>
          <w:rFonts w:cs="Times New Roman" w:ascii="Times New Roman" w:hAnsi="Times New Roman"/>
          <w:b/>
          <w:bCs/>
          <w:sz w:val="28"/>
          <w:szCs w:val="28"/>
        </w:rPr>
        <w:t>Uzman</w:t>
      </w:r>
      <w:r>
        <w:rPr>
          <w:rFonts w:cs="Times New Roman" w:ascii="Times New Roman" w:hAnsi="Times New Roman"/>
          <w:b/>
          <w:bCs/>
          <w:sz w:val="28"/>
          <w:szCs w:val="28"/>
        </w:rPr>
        <w:t>. Dr</w:t>
      </w:r>
      <w:r>
        <w:rPr>
          <w:rFonts w:cs="Times New Roman" w:ascii="Times New Roman" w:hAnsi="Times New Roman"/>
          <w:b w:val="false"/>
          <w:bCs w:val="false"/>
          <w:sz w:val="28"/>
          <w:szCs w:val="28"/>
        </w:rPr>
        <w:t>.</w:t>
      </w:r>
      <w:r>
        <w:rPr>
          <w:rFonts w:cs="Times New Roman" w:ascii="Times New Roman" w:hAnsi="Times New Roman"/>
          <w:b w:val="false"/>
          <w:bCs w:val="false"/>
          <w:sz w:val="28"/>
          <w:szCs w:val="28"/>
        </w:rPr>
        <w:t>Özlem Arman Bilir</w:t>
      </w:r>
    </w:p>
    <w:p>
      <w:pPr>
        <w:pStyle w:val="Normal"/>
        <w:rPr/>
      </w:pPr>
      <w:r>
        <w:rPr>
          <w:rFonts w:cs="Times New Roman" w:ascii="Times New Roman" w:hAnsi="Times New Roman"/>
          <w:b/>
          <w:sz w:val="28"/>
          <w:szCs w:val="28"/>
        </w:rPr>
        <w:t xml:space="preserve">Branşı: </w:t>
      </w:r>
      <w:r>
        <w:rPr>
          <w:rFonts w:cs="Times New Roman" w:ascii="Times New Roman" w:hAnsi="Times New Roman"/>
          <w:b w:val="false"/>
          <w:bCs w:val="false"/>
          <w:sz w:val="28"/>
          <w:szCs w:val="28"/>
        </w:rPr>
        <w:t>Çocuk Hematoloji Onkoloji</w:t>
      </w:r>
    </w:p>
    <w:p>
      <w:pPr>
        <w:pStyle w:val="Normal"/>
        <w:rPr/>
      </w:pPr>
      <w:r>
        <w:rPr>
          <w:rFonts w:cs="Times New Roman" w:ascii="Times New Roman" w:hAnsi="Times New Roman"/>
          <w:b/>
          <w:sz w:val="28"/>
          <w:szCs w:val="28"/>
        </w:rPr>
        <w:t xml:space="preserve">Yabancı Diller: </w:t>
      </w:r>
      <w:r>
        <w:rPr>
          <w:rFonts w:cs="Times New Roman" w:ascii="Times New Roman" w:hAnsi="Times New Roman"/>
          <w:b w:val="false"/>
          <w:bCs w:val="false"/>
          <w:sz w:val="28"/>
          <w:szCs w:val="28"/>
        </w:rPr>
        <w:t>İngilizce</w:t>
      </w:r>
    </w:p>
    <w:p>
      <w:pPr>
        <w:pStyle w:val="Normal"/>
        <w:rPr/>
      </w:pPr>
      <w:r>
        <w:rPr>
          <w:rFonts w:cs="Times New Roman" w:ascii="Times New Roman" w:hAnsi="Times New Roman"/>
          <w:b/>
          <w:sz w:val="28"/>
          <w:szCs w:val="28"/>
        </w:rPr>
        <w:t xml:space="preserve">İletişim adresi: </w:t>
      </w:r>
      <w:r>
        <w:rPr>
          <w:rFonts w:cs="Times New Roman" w:ascii="Times New Roman" w:hAnsi="Times New Roman"/>
          <w:b w:val="false"/>
          <w:bCs w:val="false"/>
          <w:sz w:val="28"/>
          <w:szCs w:val="28"/>
        </w:rPr>
        <w:t>ozlem.armanbilir</w:t>
      </w:r>
      <w:r>
        <w:rPr>
          <w:rFonts w:cs="Times New Roman" w:ascii="Times New Roman" w:hAnsi="Times New Roman"/>
          <w:b w:val="false"/>
          <w:bCs w:val="false"/>
          <w:sz w:val="28"/>
          <w:szCs w:val="28"/>
        </w:rPr>
        <w:t>@saglik.gov.tr</w:t>
      </w:r>
      <w:r>
        <w:rPr>
          <w:rFonts w:cs="Times New Roman" w:ascii="Times New Roman" w:hAnsi="Times New Roman"/>
          <w:sz w:val="28"/>
          <w:szCs w:val="28"/>
        </w:rPr>
        <w:t xml:space="preserve"> </w:t>
      </w:r>
    </w:p>
    <w:p>
      <w:pPr>
        <w:pStyle w:val="Normal"/>
        <w:rPr/>
      </w:pPr>
      <w:r>
        <w:rPr>
          <w:rFonts w:cs="Times New Roman" w:ascii="Times New Roman" w:hAnsi="Times New Roman"/>
          <w:b/>
          <w:sz w:val="28"/>
          <w:szCs w:val="28"/>
        </w:rPr>
        <w:t xml:space="preserve">Klinik: </w:t>
      </w:r>
      <w:r>
        <w:rPr>
          <w:rFonts w:cs="Times New Roman" w:ascii="Times New Roman" w:hAnsi="Times New Roman"/>
          <w:b w:val="false"/>
          <w:bCs w:val="false"/>
          <w:sz w:val="28"/>
          <w:szCs w:val="28"/>
        </w:rPr>
        <w:t>Çocuk Kemik İliği Nakil Ünitesi</w:t>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pPr>
      <w:r>
        <w:rPr>
          <w:rFonts w:cs="Times New Roman" w:ascii="Times New Roman" w:hAnsi="Times New Roman"/>
          <w:b/>
          <w:sz w:val="28"/>
          <w:szCs w:val="28"/>
        </w:rPr>
        <w:t>Tıbbi ilgi ve uzmanlık alanları:</w:t>
      </w:r>
    </w:p>
    <w:p>
      <w:pPr>
        <w:pStyle w:val="Normal"/>
        <w:rPr>
          <w:b w:val="false"/>
          <w:b w:val="false"/>
          <w:bCs w:val="false"/>
        </w:rPr>
      </w:pPr>
      <w:r>
        <w:rPr>
          <w:rFonts w:cs="Times New Roman" w:ascii="Times New Roman" w:hAnsi="Times New Roman"/>
          <w:b w:val="false"/>
          <w:bCs w:val="false"/>
          <w:sz w:val="28"/>
          <w:szCs w:val="28"/>
        </w:rPr>
        <w:t>Çocuk Kemik İliği Nakli</w:t>
      </w:r>
    </w:p>
    <w:p>
      <w:pPr>
        <w:pStyle w:val="Normal"/>
        <w:rPr>
          <w:b w:val="false"/>
          <w:b w:val="false"/>
          <w:bCs w:val="false"/>
        </w:rPr>
      </w:pPr>
      <w:r>
        <w:rPr>
          <w:rFonts w:cs="Times New Roman" w:ascii="Times New Roman" w:hAnsi="Times New Roman"/>
          <w:b w:val="false"/>
          <w:bCs w:val="false"/>
          <w:sz w:val="28"/>
          <w:szCs w:val="28"/>
        </w:rPr>
        <w:t>Flow Sitometri Laboratuvarı</w:t>
      </w:r>
    </w:p>
    <w:p>
      <w:pPr>
        <w:pStyle w:val="Normal"/>
        <w:rPr/>
      </w:pPr>
      <w:r>
        <w:rPr>
          <w:rFonts w:cs="Times New Roman" w:ascii="Times New Roman" w:hAnsi="Times New Roman"/>
          <w:sz w:val="28"/>
          <w:szCs w:val="28"/>
        </w:rPr>
        <w:t xml:space="preserve">Çocukluk </w:t>
      </w:r>
      <w:r>
        <w:rPr>
          <w:rFonts w:cs="Times New Roman" w:ascii="Times New Roman" w:hAnsi="Times New Roman"/>
          <w:sz w:val="28"/>
          <w:szCs w:val="28"/>
        </w:rPr>
        <w:t>Ç</w:t>
      </w:r>
      <w:r>
        <w:rPr>
          <w:rFonts w:cs="Times New Roman" w:ascii="Times New Roman" w:hAnsi="Times New Roman"/>
          <w:sz w:val="28"/>
          <w:szCs w:val="28"/>
        </w:rPr>
        <w:t xml:space="preserve">ağı </w:t>
      </w:r>
      <w:r>
        <w:rPr>
          <w:rFonts w:cs="Times New Roman" w:ascii="Times New Roman" w:hAnsi="Times New Roman"/>
          <w:sz w:val="28"/>
          <w:szCs w:val="28"/>
        </w:rPr>
        <w:t>L</w:t>
      </w:r>
      <w:r>
        <w:rPr>
          <w:rFonts w:cs="Times New Roman" w:ascii="Times New Roman" w:hAnsi="Times New Roman"/>
          <w:sz w:val="28"/>
          <w:szCs w:val="28"/>
        </w:rPr>
        <w:t xml:space="preserve">ösemileri </w:t>
      </w:r>
    </w:p>
    <w:p>
      <w:pPr>
        <w:pStyle w:val="Normal"/>
        <w:rPr/>
      </w:pPr>
      <w:r>
        <w:rPr>
          <w:rFonts w:cs="Times New Roman" w:ascii="Times New Roman" w:hAnsi="Times New Roman"/>
          <w:sz w:val="28"/>
          <w:szCs w:val="28"/>
        </w:rPr>
        <w:t xml:space="preserve">Anemi, trombosit ve lökosit hastalıkları </w:t>
      </w:r>
    </w:p>
    <w:p>
      <w:pPr>
        <w:pStyle w:val="Normal"/>
        <w:rPr>
          <w:rFonts w:ascii="Times New Roman" w:hAnsi="Times New Roman" w:cs="Times New Roman"/>
          <w:sz w:val="28"/>
          <w:szCs w:val="28"/>
        </w:rPr>
      </w:pPr>
      <w:r>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pPr>
      <w:r>
        <w:rPr>
          <w:rFonts w:cs="Times New Roman" w:ascii="Times New Roman" w:hAnsi="Times New Roman"/>
          <w:b/>
          <w:sz w:val="28"/>
          <w:szCs w:val="28"/>
        </w:rPr>
        <w:t>Eğitimi:</w:t>
      </w:r>
    </w:p>
    <w:p>
      <w:pPr>
        <w:pStyle w:val="Bodytext21"/>
        <w:spacing w:lineRule="auto" w:line="276"/>
        <w:jc w:val="both"/>
        <w:rPr>
          <w:rFonts w:ascii="Times New Roman" w:hAnsi="Times New Roman"/>
          <w:sz w:val="28"/>
          <w:szCs w:val="28"/>
        </w:rPr>
      </w:pPr>
      <w:r>
        <w:rPr>
          <w:rFonts w:cs="Times New Roman" w:ascii="Times New Roman" w:hAnsi="Times New Roman"/>
          <w:sz w:val="28"/>
          <w:szCs w:val="28"/>
        </w:rPr>
        <w:t>1993-1999:  İstanbul Üniversitesi İstanbul Tıp Fakültesi</w:t>
      </w:r>
    </w:p>
    <w:p>
      <w:pPr>
        <w:pStyle w:val="Normal"/>
        <w:overflowPunct w:val="false"/>
        <w:autoSpaceDE w:val="false"/>
        <w:spacing w:lineRule="auto" w:line="276"/>
        <w:jc w:val="both"/>
        <w:rPr>
          <w:rFonts w:ascii="Times New Roman" w:hAnsi="Times New Roman" w:cs="Times New Roman"/>
          <w:bCs/>
        </w:rPr>
      </w:pPr>
      <w:r>
        <w:rPr>
          <w:rFonts w:ascii="Times New Roman" w:hAnsi="Times New Roman"/>
          <w:sz w:val="28"/>
          <w:szCs w:val="28"/>
        </w:rPr>
      </w:r>
    </w:p>
    <w:p>
      <w:pPr>
        <w:pStyle w:val="Normal"/>
        <w:overflowPunct w:val="false"/>
        <w:autoSpaceDE w:val="false"/>
        <w:spacing w:lineRule="auto" w:line="276"/>
        <w:jc w:val="both"/>
        <w:rPr>
          <w:rFonts w:ascii="Times New Roman" w:hAnsi="Times New Roman"/>
          <w:sz w:val="28"/>
          <w:szCs w:val="28"/>
        </w:rPr>
      </w:pPr>
      <w:r>
        <w:rPr>
          <w:rFonts w:cs="Times New Roman" w:ascii="Times New Roman" w:hAnsi="Times New Roman"/>
          <w:bCs/>
          <w:sz w:val="28"/>
          <w:szCs w:val="28"/>
        </w:rPr>
        <w:t>2004-2009: Ankara Dışkapı Çocuk Hastalıkları Hastanesi Eğ. Ve Araş. Hast.            Pediatri uzmanlık eğitimi</w:t>
      </w:r>
    </w:p>
    <w:p>
      <w:pPr>
        <w:pStyle w:val="Normal"/>
        <w:overflowPunct w:val="false"/>
        <w:autoSpaceDE w:val="false"/>
        <w:spacing w:lineRule="auto" w:line="360"/>
        <w:jc w:val="both"/>
        <w:rPr>
          <w:rFonts w:ascii="Times New Roman" w:hAnsi="Times New Roman" w:cs="Times New Roman"/>
          <w:bCs/>
          <w:sz w:val="28"/>
          <w:szCs w:val="28"/>
        </w:rPr>
      </w:pPr>
      <w:r>
        <w:rPr>
          <w:rFonts w:cs="Times New Roman" w:ascii="Times New Roman" w:hAnsi="Times New Roman"/>
          <w:bCs/>
          <w:sz w:val="28"/>
          <w:szCs w:val="28"/>
        </w:rPr>
        <w:t xml:space="preserve">2010 Ağustos-2011 Ekim: Abdurrahman Yurtaslan Onkoloji Hastanesi Çocuk Hematoloji Yan Dal </w:t>
      </w:r>
      <w:r>
        <w:rPr>
          <w:rFonts w:cs="Times New Roman" w:ascii="Times New Roman" w:hAnsi="Times New Roman"/>
          <w:bCs/>
          <w:sz w:val="28"/>
          <w:szCs w:val="28"/>
        </w:rPr>
        <w:t>Eğitimi</w:t>
      </w:r>
    </w:p>
    <w:p>
      <w:pPr>
        <w:pStyle w:val="Normal"/>
        <w:overflowPunct w:val="false"/>
        <w:autoSpaceDE w:val="false"/>
        <w:spacing w:lineRule="auto" w:line="360"/>
        <w:jc w:val="both"/>
        <w:rPr>
          <w:rFonts w:ascii="Times New Roman" w:hAnsi="Times New Roman"/>
          <w:sz w:val="28"/>
          <w:szCs w:val="28"/>
        </w:rPr>
      </w:pPr>
      <w:r>
        <w:rPr>
          <w:rFonts w:cs="Times New Roman" w:ascii="Times New Roman" w:hAnsi="Times New Roman"/>
          <w:bCs/>
          <w:sz w:val="28"/>
          <w:szCs w:val="28"/>
        </w:rPr>
        <w:t xml:space="preserve">2011 Ekim- Aralık 2014 : Ankara Çocuk Sağlığı ve Hemotoloji Onkoloji EAH, Çocuk  Hematoloji-Onkolji Yan Dal </w:t>
      </w:r>
      <w:r>
        <w:rPr>
          <w:rFonts w:cs="Times New Roman" w:ascii="Times New Roman" w:hAnsi="Times New Roman"/>
          <w:bCs/>
          <w:sz w:val="28"/>
          <w:szCs w:val="28"/>
        </w:rPr>
        <w:t>Eğitimi</w:t>
      </w:r>
    </w:p>
    <w:p>
      <w:pPr>
        <w:pStyle w:val="Bodytext21"/>
        <w:spacing w:lineRule="auto" w:line="240"/>
        <w:jc w:val="both"/>
        <w:rPr>
          <w:rFonts w:cs="Times New Roman"/>
        </w:rPr>
      </w:pPr>
      <w:r>
        <w:rPr>
          <w:rFonts w:ascii="Times New Roman" w:hAnsi="Times New Roman"/>
          <w:sz w:val="28"/>
          <w:szCs w:val="28"/>
        </w:rPr>
      </w:r>
    </w:p>
    <w:p>
      <w:pPr>
        <w:pStyle w:val="Bodytext21"/>
        <w:spacing w:lineRule="auto" w:line="240"/>
        <w:jc w:val="both"/>
        <w:rPr>
          <w:rFonts w:cs="Times New Roman"/>
        </w:rPr>
      </w:pPr>
      <w:r>
        <w:rPr>
          <w:rFonts w:ascii="Times New Roman" w:hAnsi="Times New Roman"/>
          <w:sz w:val="28"/>
          <w:szCs w:val="28"/>
        </w:rPr>
      </w:r>
    </w:p>
    <w:p>
      <w:pPr>
        <w:pStyle w:val="Bodytext21"/>
        <w:spacing w:lineRule="auto" w:line="276"/>
        <w:jc w:val="both"/>
        <w:rPr>
          <w:rFonts w:cs="Times New Roman"/>
        </w:rPr>
      </w:pPr>
      <w:r>
        <w:rPr>
          <w:rFonts w:ascii="Times New Roman" w:hAnsi="Times New Roman"/>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t>Çalışılan Kurumlar:</w:t>
      </w:r>
    </w:p>
    <w:p>
      <w:pPr>
        <w:pStyle w:val="Normal"/>
        <w:overflowPunct w:val="false"/>
        <w:autoSpaceDE w:val="false"/>
        <w:spacing w:lineRule="auto" w:line="360"/>
        <w:jc w:val="both"/>
        <w:rPr/>
      </w:pPr>
      <w:r>
        <w:rPr>
          <w:rFonts w:cs="Times New Roman" w:ascii="Times New Roman" w:hAnsi="Times New Roman"/>
          <w:bCs/>
          <w:sz w:val="24"/>
          <w:szCs w:val="24"/>
        </w:rPr>
        <w:t xml:space="preserve">2000-2004 : SSK Aksaray Şahap Kocatopçu Hastanesi, </w:t>
      </w:r>
      <w:r>
        <w:rPr>
          <w:rFonts w:cs="Times New Roman" w:ascii="Times New Roman" w:hAnsi="Times New Roman"/>
          <w:bCs/>
          <w:sz w:val="24"/>
          <w:szCs w:val="24"/>
        </w:rPr>
        <w:t>Pratisyen Hekim</w:t>
      </w:r>
    </w:p>
    <w:p>
      <w:pPr>
        <w:pStyle w:val="Normal"/>
        <w:overflowPunct w:val="false"/>
        <w:autoSpaceDE w:val="false"/>
        <w:spacing w:lineRule="auto" w:line="360"/>
        <w:jc w:val="both"/>
        <w:rPr/>
      </w:pPr>
      <w:r>
        <w:rPr>
          <w:rFonts w:cs="Times New Roman" w:ascii="Times New Roman" w:hAnsi="Times New Roman"/>
          <w:bCs/>
          <w:sz w:val="24"/>
          <w:szCs w:val="24"/>
        </w:rPr>
        <w:t xml:space="preserve">2010 Şubat -2010 Ağustos: Cihanbeyli Devlet Hastanesi, </w:t>
      </w:r>
      <w:r>
        <w:rPr>
          <w:rFonts w:cs="Times New Roman" w:ascii="Times New Roman" w:hAnsi="Times New Roman"/>
          <w:bCs/>
          <w:sz w:val="24"/>
          <w:szCs w:val="24"/>
        </w:rPr>
        <w:t>Pediatri Uzmanı</w:t>
      </w:r>
    </w:p>
    <w:p>
      <w:pPr>
        <w:pStyle w:val="Normal"/>
        <w:overflowPunct w:val="false"/>
        <w:autoSpaceDE w:val="false"/>
        <w:spacing w:lineRule="auto" w:line="360"/>
        <w:jc w:val="both"/>
        <w:rPr/>
      </w:pPr>
      <w:r>
        <w:rPr>
          <w:rFonts w:cs="Times New Roman" w:ascii="Times New Roman" w:hAnsi="Times New Roman"/>
          <w:bCs/>
          <w:sz w:val="24"/>
          <w:szCs w:val="24"/>
        </w:rPr>
        <w:t>2015 Haziran- Eylül 2019: Ankara Çocuk Sağlığı ve Hemotoloji Onkoloji EAH, Çocuk Hematoloji-Onkolji uzmanı</w:t>
      </w:r>
    </w:p>
    <w:p>
      <w:pPr>
        <w:pStyle w:val="Normal"/>
        <w:overflowPunct w:val="false"/>
        <w:autoSpaceDE w:val="false"/>
        <w:spacing w:lineRule="auto" w:line="360"/>
        <w:jc w:val="both"/>
        <w:rPr>
          <w:rFonts w:ascii="Times New Roman" w:hAnsi="Times New Roman" w:cs="Times New Roman"/>
          <w:b w:val="false"/>
          <w:b w:val="false"/>
          <w:bCs w:val="false"/>
          <w:sz w:val="28"/>
          <w:szCs w:val="28"/>
        </w:rPr>
      </w:pPr>
      <w:r>
        <w:rPr>
          <w:rFonts w:cs="Times New Roman" w:ascii="Times New Roman" w:hAnsi="Times New Roman"/>
          <w:b w:val="false"/>
          <w:bCs w:val="false"/>
          <w:sz w:val="24"/>
          <w:szCs w:val="24"/>
        </w:rPr>
        <w:t>Eylül 2019- Halen: Ankara Şehir Hastanesi, Çocuk Hematoloji Onkoloji Uzmanı</w:t>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Yayınlar: </w:t>
      </w:r>
    </w:p>
    <w:p>
      <w:pPr>
        <w:pStyle w:val="Normal"/>
        <w:overflowPunct w:val="false"/>
        <w:autoSpaceDE w:val="false"/>
        <w:spacing w:lineRule="auto" w:line="360"/>
        <w:jc w:val="both"/>
        <w:rPr>
          <w:rFonts w:ascii="Times New Roman" w:hAnsi="Times New Roman"/>
          <w:sz w:val="24"/>
          <w:szCs w:val="24"/>
        </w:rPr>
      </w:pPr>
      <w:r>
        <w:rPr>
          <w:rFonts w:cs="Times New Roman" w:ascii="Times New Roman" w:hAnsi="Times New Roman"/>
          <w:bCs/>
          <w:sz w:val="24"/>
          <w:szCs w:val="24"/>
        </w:rPr>
        <w:t>Yayınlar;</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u w:val="single"/>
          <w:shd w:fill="FFFFFF" w:val="clear"/>
        </w:rPr>
        <w:t>Bilir ÖA,</w:t>
      </w:r>
      <w:r>
        <w:rPr>
          <w:rFonts w:cs="Segoe UI" w:ascii="Times New Roman" w:hAnsi="Times New Roman"/>
          <w:color w:val="212121"/>
          <w:sz w:val="24"/>
          <w:szCs w:val="24"/>
          <w:shd w:fill="FFFFFF" w:val="clear"/>
        </w:rPr>
        <w:t xml:space="preserve"> Dikme G, Malbora B, Evim MS, Siviş ZÖ, Tüfekçi Ö, Bahadir A, Karaman S, Vural S, Bayhan T, Yarali HN, Celkan T, Özbek NY. Posterior Reversible Encephalopathy Syndrome in Childhood Hematological/Oncological Diseases: Multicenter Results. J Pediatr Hematol Oncol. 2021 May 1;43(4):e462-e465. doi: 10.1097/MPH.0000000000001965. PMID: 33060391.</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u w:val="single"/>
          <w:shd w:fill="FFFFFF" w:val="clear"/>
        </w:rPr>
        <w:t>Arman Bilir Ö,</w:t>
      </w:r>
      <w:r>
        <w:rPr>
          <w:rFonts w:cs="Segoe UI" w:ascii="Times New Roman" w:hAnsi="Times New Roman"/>
          <w:color w:val="212121"/>
          <w:sz w:val="24"/>
          <w:szCs w:val="24"/>
          <w:shd w:fill="FFFFFF" w:val="clear"/>
        </w:rPr>
        <w:t xml:space="preserve"> Kirkiz S, Fettah A, Ok Bozkaya İ, Kara A, Çakar N, Yaralı N. Renal function and the oxidative status among children with thalassemia major and healthy controls: A cross-sectional study. Transfus Apher Sci. 2020 Aug;59(4):102746. doi: 10.1016/j.transci.2020.102746. Epub 2020 Feb 28. PMID: 32173278.</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shd w:fill="FFFFFF" w:val="clear"/>
        </w:rPr>
        <w:t xml:space="preserve">Kiykim A, Ogulur I, Dursun E, Charbonnier LM, Nain E, Cekic S, Dogruel D, Karaca NE, Cogurlu MT, </w:t>
      </w:r>
      <w:r>
        <w:rPr>
          <w:rFonts w:cs="Segoe UI" w:ascii="Times New Roman" w:hAnsi="Times New Roman"/>
          <w:color w:val="212121"/>
          <w:sz w:val="24"/>
          <w:szCs w:val="24"/>
          <w:u w:val="single"/>
          <w:shd w:fill="FFFFFF" w:val="clear"/>
        </w:rPr>
        <w:t>Bilir OA</w:t>
      </w:r>
      <w:r>
        <w:rPr>
          <w:rFonts w:cs="Segoe UI" w:ascii="Times New Roman" w:hAnsi="Times New Roman"/>
          <w:color w:val="212121"/>
          <w:sz w:val="24"/>
          <w:szCs w:val="24"/>
          <w:shd w:fill="FFFFFF" w:val="clear"/>
        </w:rPr>
        <w:t>, Cansever M, Kapakli H, Baser D, Kasap N, Kutlug S, Altintas DU, Al-Shaibi A, Agrebi N, Kara M, Guven A, Somer A, Aydogmus C, Ayaz NA, Metin A, Aydogan M, Uncuoglu A, Patiroglu T, Yildiran A, Guner SN, Keles S, Reisli I, Aksu G, Kutukculer N, Kilic SS, Yilmaz M, Karakoc-Aydiner E, Lo B, Ozen A, Chatila TA, Baris S. Abatacept as a Long-Term Targeted Therapy for LRBA Deficiency. J Allergy Clin Immunol Pract. 2019 Nov-Dec;7(8):2790-2800.e15. doi: 10.1016/j.jaip.2019.06.011. Epub 2019 Jun 22. PMID: 31238161; PMCID: PMC6842687.</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shd w:fill="FFFFFF" w:val="clear"/>
        </w:rPr>
        <w:t xml:space="preserve">Yaralı N, </w:t>
      </w:r>
      <w:r>
        <w:rPr>
          <w:rFonts w:cs="Segoe UI" w:ascii="Times New Roman" w:hAnsi="Times New Roman"/>
          <w:color w:val="212121"/>
          <w:sz w:val="24"/>
          <w:szCs w:val="24"/>
          <w:u w:val="single"/>
          <w:shd w:fill="FFFFFF" w:val="clear"/>
        </w:rPr>
        <w:t>Bilir ÖA</w:t>
      </w:r>
      <w:r>
        <w:rPr>
          <w:rFonts w:cs="Segoe UI" w:ascii="Times New Roman" w:hAnsi="Times New Roman"/>
          <w:color w:val="212121"/>
          <w:sz w:val="24"/>
          <w:szCs w:val="24"/>
          <w:shd w:fill="FFFFFF" w:val="clear"/>
        </w:rPr>
        <w:t>, Erdem AY, Çulha V, Kara A, Özbek N. Clinical features and treatment of primary autoimmune hemolytic anemia in childhood. Transfus Apher Sci. 2018 Oct;57(5):665-668. doi: 10.1016/j.transci.2018.07.014. Epub 2018 Aug 8. PMID: 30146455.</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shd w:fill="FFFFFF" w:val="clear"/>
        </w:rPr>
        <w:t xml:space="preserve">Köse V, </w:t>
      </w:r>
      <w:r>
        <w:rPr>
          <w:rFonts w:cs="Segoe UI" w:ascii="Times New Roman" w:hAnsi="Times New Roman"/>
          <w:color w:val="212121"/>
          <w:sz w:val="24"/>
          <w:szCs w:val="24"/>
          <w:u w:val="single"/>
          <w:shd w:fill="FFFFFF" w:val="clear"/>
        </w:rPr>
        <w:t>Bilir ÖA,</w:t>
      </w:r>
      <w:r>
        <w:rPr>
          <w:rFonts w:cs="Segoe UI" w:ascii="Times New Roman" w:hAnsi="Times New Roman"/>
          <w:color w:val="212121"/>
          <w:sz w:val="24"/>
          <w:szCs w:val="24"/>
          <w:shd w:fill="FFFFFF" w:val="clear"/>
        </w:rPr>
        <w:t xml:space="preserve"> Kara A, Özbek NY, Yaralı HN. The impact of pretreatment serum cobalamin and folate levels on complications and peripheral blood recovery during induction chemotherapy of leukemia: a cross-sectional study. Support Care Cancer. 2021 Apr;29(4):2225-2230. doi: 10.1007/s00520-020-05688-3. Epub 2020 Sep 7. PMID: 32895740.</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shd w:fill="FFFFFF" w:val="clear"/>
        </w:rPr>
        <w:t xml:space="preserve">Guzelkucuk Z, Gurlek Gokcebay D, </w:t>
      </w:r>
      <w:r>
        <w:rPr>
          <w:rFonts w:cs="Segoe UI" w:ascii="Times New Roman" w:hAnsi="Times New Roman"/>
          <w:color w:val="212121"/>
          <w:sz w:val="24"/>
          <w:szCs w:val="24"/>
          <w:u w:val="single"/>
          <w:shd w:fill="FFFFFF" w:val="clear"/>
        </w:rPr>
        <w:t>Arman Bilir O</w:t>
      </w:r>
      <w:r>
        <w:rPr>
          <w:rFonts w:cs="Segoe UI" w:ascii="Times New Roman" w:hAnsi="Times New Roman"/>
          <w:color w:val="212121"/>
          <w:sz w:val="24"/>
          <w:szCs w:val="24"/>
          <w:shd w:fill="FFFFFF" w:val="clear"/>
        </w:rPr>
        <w:t>, Basaran O, Celikel Acar B, Ozbek NY, Yarali N. Children With Behçet Disease-associated Thrombosis: A Single-Center Experience. J Pediatr Hematol Oncol. 2021 Jan;43(1):e15-e18. doi: 10.1097/MPH.0000000000001877. PMID: 32604332.</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shd w:fill="FFFFFF" w:val="clear"/>
        </w:rPr>
        <w:t xml:space="preserve">Yigit M, </w:t>
      </w:r>
      <w:r>
        <w:rPr>
          <w:rFonts w:cs="Segoe UI" w:ascii="Times New Roman" w:hAnsi="Times New Roman"/>
          <w:color w:val="212121"/>
          <w:sz w:val="24"/>
          <w:szCs w:val="24"/>
          <w:u w:val="single"/>
          <w:shd w:fill="FFFFFF" w:val="clear"/>
        </w:rPr>
        <w:t>Arman Bilir Ö,</w:t>
      </w:r>
      <w:r>
        <w:rPr>
          <w:rFonts w:cs="Segoe UI" w:ascii="Times New Roman" w:hAnsi="Times New Roman"/>
          <w:color w:val="212121"/>
          <w:sz w:val="24"/>
          <w:szCs w:val="24"/>
          <w:shd w:fill="FFFFFF" w:val="clear"/>
        </w:rPr>
        <w:t xml:space="preserve"> Kanik Yüksek S, Kaçar D, Özbek NY, Yarali HN. Antifungal Therapy in Pediatric Acute Lymphoblastic Leukemia: A Single-center Experience. J Pediatr Hematol Oncol. 2021 Sep 6. doi: 10.1097/MPH.0000000000002297. Epub ahead of print. PMID: 34486550.</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shd w:fill="FFFFFF" w:val="clear"/>
        </w:rPr>
        <w:t xml:space="preserve">Yazal Erdem A, </w:t>
      </w:r>
      <w:r>
        <w:rPr>
          <w:rFonts w:cs="Segoe UI" w:ascii="Times New Roman" w:hAnsi="Times New Roman"/>
          <w:color w:val="212121"/>
          <w:sz w:val="24"/>
          <w:szCs w:val="24"/>
          <w:u w:val="single"/>
          <w:shd w:fill="FFFFFF" w:val="clear"/>
        </w:rPr>
        <w:t>Arman Bilir Ö</w:t>
      </w:r>
      <w:r>
        <w:rPr>
          <w:rFonts w:cs="Segoe UI" w:ascii="Times New Roman" w:hAnsi="Times New Roman"/>
          <w:color w:val="212121"/>
          <w:sz w:val="24"/>
          <w:szCs w:val="24"/>
          <w:shd w:fill="FFFFFF" w:val="clear"/>
        </w:rPr>
        <w:t>, Işık M, Kaçar D, Özbek NY, Yaralı HN. Management of acquired aplastic anemia in children : A single center experience. Transfus Apher Sci. 2019 Aug;58(4):484-490. doi: 10.1016/j.transci.2019.05.004. Epub 2019 May 10. PMID: 31151809.</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shd w:fill="FFFFFF" w:val="clear"/>
        </w:rPr>
        <w:t xml:space="preserve">Güngör T, </w:t>
      </w:r>
      <w:r>
        <w:rPr>
          <w:rFonts w:cs="Segoe UI" w:ascii="Times New Roman" w:hAnsi="Times New Roman"/>
          <w:color w:val="212121"/>
          <w:sz w:val="24"/>
          <w:szCs w:val="24"/>
          <w:u w:val="single"/>
          <w:shd w:fill="FFFFFF" w:val="clear"/>
        </w:rPr>
        <w:t>Arman Bilir Ö</w:t>
      </w:r>
      <w:r>
        <w:rPr>
          <w:rFonts w:cs="Segoe UI" w:ascii="Times New Roman" w:hAnsi="Times New Roman"/>
          <w:color w:val="212121"/>
          <w:sz w:val="24"/>
          <w:szCs w:val="24"/>
          <w:shd w:fill="FFFFFF" w:val="clear"/>
        </w:rPr>
        <w:t>, Koşan Çulha V, Güngör A, Kara A, Azık FM, Yaralı HN. Retrospective evaluation of children with immune thrombocytopenic purpura and factors contributing to chronicity. Pediatr Neonatol. 2019 Aug;60(4):411-416. doi: 10.1016/j.pedneo.2018.10.002. Epub 2018 Nov 3. PMID: 30470618.</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shd w:fill="FFFFFF" w:val="clear"/>
        </w:rPr>
        <w:t xml:space="preserve">Wong HH, Seet SH, Maier M, Gurel A, Traspas RM, Lee C, Zhang S, Talim B, Loh AYT, Chia CY, Teoh TS, Sng D, Rensvold J, Unal S, Shishkova E, Cepni E, Nathan FM, Sirota FL, Liang C, Yarali N, Simsek-Kiper PO, Mitani T, Ceylaner S, </w:t>
      </w:r>
      <w:r>
        <w:rPr>
          <w:rFonts w:cs="Segoe UI" w:ascii="Times New Roman" w:hAnsi="Times New Roman"/>
          <w:color w:val="212121"/>
          <w:sz w:val="24"/>
          <w:szCs w:val="24"/>
          <w:u w:val="single"/>
          <w:shd w:fill="FFFFFF" w:val="clear"/>
        </w:rPr>
        <w:t>Arman-Bilir O,</w:t>
      </w:r>
      <w:r>
        <w:rPr>
          <w:rFonts w:cs="Segoe UI" w:ascii="Times New Roman" w:hAnsi="Times New Roman"/>
          <w:color w:val="212121"/>
          <w:sz w:val="24"/>
          <w:szCs w:val="24"/>
          <w:shd w:fill="FFFFFF" w:val="clear"/>
        </w:rPr>
        <w:t xml:space="preserve"> Mbarek H, Gumruk F, Efthymiou S, Uğurlu Çi Men D, Georgiadou D, Sotiropoulou K, Houlden H, Paul F, Pehlivan D, Lainé C, Chai G, Ali NA, Choo SC, Keng SS, Boisson B, Yılmaz E, Xue S, Coon JJ, Ly TTN, Gilani N, Hasbini D, Kayserili H, Zaki MS, Isfort RJ, Ordonez N, Tripolszki K, Bauer P, Rezaei N, Seyedpour S, Khotaei GT, Bascom CC, Maroofian R, Chaabouni M, Alsubhi A, Eyaid W, Işıkay S, Gleeson JG, Lupski JR, Casanova JL, Pagliarini DJ, Akarsu NA, Maurer-Stroh S, Cetinkaya A, Bertoli-Avella A, Mathuru AS, Ho L, Bard FA, Reversade B. Loss of C2orf69 defines a fatal autoinflammatory syndrome in humans and zebrafish that evokes a glycogen-storage-associated mitochondriopathy. Am J Hum Genet. 2021 Jul 1;108(7):1301-1317. doi: 10.1016/j.ajhg.2021.05.003. Epub 2021 May 25. Erratum in: Am J Hum Genet. 2021 Jul 1;108(7):1356. PMID: 34038740; PMCID: PMC8322802.</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shd w:fill="FFFFFF" w:val="clear"/>
        </w:rPr>
        <w:t xml:space="preserve">Yarali N, Isik M, </w:t>
      </w:r>
      <w:r>
        <w:rPr>
          <w:rFonts w:cs="Segoe UI" w:ascii="Times New Roman" w:hAnsi="Times New Roman"/>
          <w:color w:val="212121"/>
          <w:sz w:val="24"/>
          <w:szCs w:val="24"/>
          <w:u w:val="single"/>
          <w:shd w:fill="FFFFFF" w:val="clear"/>
        </w:rPr>
        <w:t>Arman-Bilir O</w:t>
      </w:r>
      <w:r>
        <w:rPr>
          <w:rFonts w:cs="Segoe UI" w:ascii="Times New Roman" w:hAnsi="Times New Roman"/>
          <w:color w:val="212121"/>
          <w:sz w:val="24"/>
          <w:szCs w:val="24"/>
          <w:shd w:fill="FFFFFF" w:val="clear"/>
        </w:rPr>
        <w:t>, Guzelkucuk Z, Oguz-Erdogan AS. Bone Marrow Necrosis in a Patient Following Blinatumomab Therapy. J Pediatr Hematol Oncol. 2020 Apr;42(3):e167-e169. doi: 10.1097/MPH.0000000000001532. PMID: 31219910.</w:t>
      </w:r>
    </w:p>
    <w:p>
      <w:pPr>
        <w:pStyle w:val="ListeParagraf"/>
        <w:numPr>
          <w:ilvl w:val="0"/>
          <w:numId w:val="1"/>
        </w:numPr>
        <w:jc w:val="both"/>
        <w:rPr>
          <w:rFonts w:ascii="Times New Roman" w:hAnsi="Times New Roman"/>
          <w:sz w:val="24"/>
          <w:szCs w:val="24"/>
        </w:rPr>
      </w:pPr>
      <w:r>
        <w:rPr>
          <w:rFonts w:cs="Segoe UI" w:ascii="Times New Roman" w:hAnsi="Times New Roman"/>
          <w:color w:val="212121"/>
          <w:sz w:val="24"/>
          <w:szCs w:val="24"/>
          <w:shd w:fill="FFFFFF" w:val="clear"/>
        </w:rPr>
        <w:t xml:space="preserve">Kirkiz S, Yarali N, </w:t>
      </w:r>
      <w:r>
        <w:rPr>
          <w:rFonts w:cs="Segoe UI" w:ascii="Times New Roman" w:hAnsi="Times New Roman"/>
          <w:color w:val="212121"/>
          <w:sz w:val="24"/>
          <w:szCs w:val="24"/>
          <w:u w:val="single"/>
          <w:shd w:fill="FFFFFF" w:val="clear"/>
        </w:rPr>
        <w:t>Arman Bilir O</w:t>
      </w:r>
      <w:r>
        <w:rPr>
          <w:rFonts w:cs="Segoe UI" w:ascii="Times New Roman" w:hAnsi="Times New Roman"/>
          <w:color w:val="212121"/>
          <w:sz w:val="24"/>
          <w:szCs w:val="24"/>
          <w:shd w:fill="FFFFFF" w:val="clear"/>
        </w:rPr>
        <w:t>, Tunc B. Metformin-induced hemolytic anemia. Med Princ Pract. 2014;23(2):183-5. doi: 10.1159/000356149. Epub 2013 Nov 27. PMID: 24296614; PMCID: PMC5586851.</w:t>
      </w:r>
    </w:p>
    <w:p>
      <w:pPr>
        <w:pStyle w:val="ListeParagraf"/>
        <w:numPr>
          <w:ilvl w:val="0"/>
          <w:numId w:val="1"/>
        </w:numPr>
        <w:jc w:val="both"/>
        <w:rPr/>
      </w:pPr>
      <w:r>
        <w:rPr>
          <w:rFonts w:cs="Segoe UI" w:ascii="Times New Roman" w:hAnsi="Times New Roman"/>
          <w:color w:val="212121"/>
          <w:sz w:val="24"/>
          <w:szCs w:val="24"/>
          <w:u w:val="single"/>
          <w:shd w:fill="FFFFFF" w:val="clear"/>
        </w:rPr>
        <w:t>Arman Bilir Ö,</w:t>
      </w:r>
      <w:r>
        <w:rPr>
          <w:rFonts w:cs="Segoe UI" w:ascii="Times New Roman" w:hAnsi="Times New Roman"/>
          <w:color w:val="212121"/>
          <w:sz w:val="24"/>
          <w:szCs w:val="24"/>
          <w:shd w:fill="FFFFFF" w:val="clear"/>
        </w:rPr>
        <w:t xml:space="preserve"> Demir AM, Akçabelen YM, Ok Bozkaya İ, Gürlek Gökçebay D, Güneş A, Özbek NY, Yaralı N. Pneumatosis cystoides intestinalis: A rare complication after hematopoietic stem cell transplantation. Pediatr Transplant. 2021 Nov;25(7):e14136. doi: 10.1111/petr.14136. Epub 2021 Sep 10. PMID: 34505744.</w:t>
      </w:r>
    </w:p>
    <w:p>
      <w:pPr>
        <w:pStyle w:val="ListeParagraf"/>
        <w:numPr>
          <w:ilvl w:val="0"/>
          <w:numId w:val="1"/>
        </w:numPr>
        <w:jc w:val="both"/>
        <w:rPr/>
      </w:pPr>
      <w:r>
        <w:rPr>
          <w:rFonts w:cs="Segoe UI" w:ascii="Times New Roman" w:hAnsi="Times New Roman"/>
          <w:color w:val="212121"/>
          <w:sz w:val="24"/>
          <w:szCs w:val="24"/>
          <w:shd w:fill="FFFFFF" w:val="clear"/>
        </w:rPr>
        <w:t xml:space="preserve">Emir S, Özyörük D, </w:t>
      </w:r>
      <w:r>
        <w:rPr>
          <w:rFonts w:cs="Segoe UI" w:ascii="Times New Roman" w:hAnsi="Times New Roman"/>
          <w:color w:val="212121"/>
          <w:sz w:val="24"/>
          <w:szCs w:val="24"/>
          <w:u w:val="single"/>
          <w:shd w:fill="FFFFFF" w:val="clear"/>
        </w:rPr>
        <w:t>Arman Ö,</w:t>
      </w:r>
      <w:r>
        <w:rPr>
          <w:rFonts w:cs="Segoe UI" w:ascii="Times New Roman" w:hAnsi="Times New Roman"/>
          <w:color w:val="212121"/>
          <w:sz w:val="24"/>
          <w:szCs w:val="24"/>
          <w:shd w:fill="FFFFFF" w:val="clear"/>
        </w:rPr>
        <w:t xml:space="preserve"> Özbek N, Tunç B. Accidental cisplatin overdose in a child: Successful management with repetitive plasmapheresis and use of</w:t>
      </w:r>
      <w:r>
        <w:rPr>
          <w:rFonts w:cs="Segoe UI" w:ascii="Segoe UI" w:hAnsi="Segoe UI"/>
          <w:color w:val="212121"/>
          <w:shd w:fill="FFFFFF" w:val="clear"/>
        </w:rPr>
        <w:t xml:space="preserve"> chemoprotective agents. Turk J Pediatr. 2016;58(3):315-317. doi: 10.24953/turkjped.2016.03.015. PMID: 28266200.</w:t>
      </w:r>
    </w:p>
    <w:p>
      <w:pPr>
        <w:pStyle w:val="ListeParagraf"/>
        <w:numPr>
          <w:ilvl w:val="0"/>
          <w:numId w:val="1"/>
        </w:numPr>
        <w:jc w:val="both"/>
        <w:rPr/>
      </w:pPr>
      <w:r>
        <w:rPr/>
        <w:t xml:space="preserve">Tezer H, Şaylı TR, </w:t>
      </w:r>
      <w:r>
        <w:rPr>
          <w:u w:val="single"/>
        </w:rPr>
        <w:t>Bilir ÖA,</w:t>
      </w:r>
      <w:r>
        <w:rPr/>
        <w:t xml:space="preserve"> Demirkapı S. Çocuklarda kene ısırması önemli midir? 2008 yılı verilerimiz. Çocuk Enf Derg 2009; 3: 54-7.</w:t>
      </w:r>
    </w:p>
    <w:p>
      <w:pPr>
        <w:pStyle w:val="ListeParagraf"/>
        <w:numPr>
          <w:ilvl w:val="0"/>
          <w:numId w:val="1"/>
        </w:numPr>
        <w:jc w:val="both"/>
        <w:rPr/>
      </w:pPr>
      <w:r>
        <w:rPr>
          <w:rFonts w:cs="Segoe UI" w:ascii="Segoe UI" w:hAnsi="Segoe UI"/>
          <w:color w:val="212121"/>
          <w:u w:val="single"/>
          <w:shd w:fill="FFFFFF" w:val="clear"/>
        </w:rPr>
        <w:t>Arman Bilir Ö,</w:t>
      </w:r>
      <w:r>
        <w:rPr>
          <w:rFonts w:cs="Segoe UI" w:ascii="Segoe UI" w:hAnsi="Segoe UI"/>
          <w:color w:val="212121"/>
          <w:shd w:fill="FFFFFF" w:val="clear"/>
        </w:rPr>
        <w:t xml:space="preserve"> Ünal S, Özaydın E, Çelik ÇF. Yenidoğanda mekanik ventilasyon desteği: endikasyonlar, komplikasyonlar ve prognoz. Türkiye Çocuk Hastalıkları Dergisi 2009; 3(4): 46-52.</w:t>
      </w:r>
    </w:p>
    <w:p>
      <w:pPr>
        <w:pStyle w:val="ListeParagraf"/>
        <w:numPr>
          <w:ilvl w:val="0"/>
          <w:numId w:val="1"/>
        </w:numPr>
        <w:jc w:val="both"/>
        <w:rPr/>
      </w:pPr>
      <w:hyperlink r:id="rId3">
        <w:r>
          <w:rPr>
            <w:rStyle w:val="NternetBalants"/>
            <w:rFonts w:cs="Segoe UI" w:ascii="Segoe UI" w:hAnsi="Segoe UI"/>
            <w:color w:val="212121"/>
            <w:u w:val="single"/>
            <w:shd w:fill="FFFFFF" w:val="clear"/>
          </w:rPr>
          <w:t>Özlem Arman BİLİR</w:t>
        </w:r>
        <w:r>
          <w:rPr>
            <w:rStyle w:val="NternetBalants"/>
            <w:rFonts w:cs="Segoe UI" w:ascii="Segoe UI" w:hAnsi="Segoe UI"/>
            <w:color w:val="212121"/>
            <w:shd w:fill="FFFFFF" w:val="clear"/>
          </w:rPr>
          <w:t> </w:t>
        </w:r>
        <w:r>
          <w:rPr>
            <w:rStyle w:val="NternetBalants"/>
            <w:rFonts w:cs="Segoe UI" w:ascii="Segoe UI" w:hAnsi="Segoe UI"/>
            <w:color w:val="212121"/>
            <w:u w:val="none"/>
            <w:shd w:fill="FFFFFF" w:val="clear"/>
          </w:rPr>
          <w:t>Serap KİRKİZ Ali FETTAH H. Neşe YARALI Bahattin TUNÇ Namık Yaşar ÖZBEK. Çocukluk Çağı Akut Lenfoblastik Lösemisinde Mthfr Polimorfizmlerinin Sağkalım Üzerine Etkisi</w:t>
        </w:r>
      </w:hyperlink>
      <w:r>
        <w:rPr>
          <w:rFonts w:cs="Segoe UI" w:ascii="Segoe UI" w:hAnsi="Segoe UI"/>
          <w:color w:val="212121"/>
          <w:u w:val="none"/>
          <w:shd w:fill="FFFFFF" w:val="clear"/>
        </w:rPr>
        <w:t>.</w:t>
      </w:r>
      <w:r>
        <w:rPr>
          <w:rFonts w:cs="Segoe UI" w:ascii="Segoe UI" w:hAnsi="Segoe UI"/>
          <w:color w:val="212121"/>
          <w:shd w:fill="FFFFFF" w:val="clear"/>
        </w:rPr>
        <w:t xml:space="preserve"> Türkiye Çocuk Hastalıkları Dergisi 2017; 11(3): 175-178.</w:t>
      </w:r>
    </w:p>
    <w:p>
      <w:pPr>
        <w:pStyle w:val="ListeParagraf"/>
        <w:numPr>
          <w:ilvl w:val="0"/>
          <w:numId w:val="1"/>
        </w:numPr>
        <w:jc w:val="both"/>
        <w:rPr/>
      </w:pPr>
      <w:r>
        <w:rPr>
          <w:rFonts w:cs="Segoe UI" w:ascii="Segoe UI" w:hAnsi="Segoe UI"/>
          <w:color w:val="212121"/>
          <w:shd w:fill="FFFFFF" w:val="clear"/>
        </w:rPr>
        <w:t>Vildan ÇULHA, Dilek GÖKÇEBAY, </w:t>
      </w:r>
      <w:r>
        <w:rPr>
          <w:rFonts w:cs="Segoe UI" w:ascii="Segoe UI" w:hAnsi="Segoe UI"/>
          <w:color w:val="212121"/>
          <w:u w:val="single"/>
          <w:shd w:fill="FFFFFF" w:val="clear"/>
        </w:rPr>
        <w:t>Özlem A. BİLİR,</w:t>
      </w:r>
      <w:r>
        <w:rPr>
          <w:rFonts w:cs="Segoe UI" w:ascii="Segoe UI" w:hAnsi="Segoe UI"/>
          <w:color w:val="212121"/>
          <w:shd w:fill="FFFFFF" w:val="clear"/>
        </w:rPr>
        <w:t xml:space="preserve"> M.fatih AZIK,  Betül TAVİL, Pamir IŞIK, Neşe YARALI, Abdurrahman KARA. Bahattin TUNÇ. </w:t>
      </w:r>
      <w:hyperlink r:id="rId4">
        <w:r>
          <w:rPr>
            <w:rStyle w:val="NternetBalants"/>
            <w:rFonts w:cs="Segoe UI" w:ascii="Segoe UI" w:hAnsi="Segoe UI"/>
            <w:color w:val="212121"/>
            <w:u w:val="single"/>
            <w:shd w:fill="FFFFFF" w:val="clear"/>
          </w:rPr>
          <w:t>İnhibitörlü Hemofili A Hastalarında Profilaksi</w:t>
        </w:r>
      </w:hyperlink>
      <w:r>
        <w:rPr>
          <w:rFonts w:cs="Segoe UI" w:ascii="Segoe UI" w:hAnsi="Segoe UI"/>
          <w:color w:val="212121"/>
          <w:u w:val="single"/>
          <w:shd w:fill="FFFFFF" w:val="clear"/>
        </w:rPr>
        <w:t>.</w:t>
      </w:r>
      <w:r>
        <w:rPr>
          <w:rFonts w:cs="Segoe UI" w:ascii="Segoe UI" w:hAnsi="Segoe UI"/>
          <w:color w:val="212121"/>
          <w:shd w:fill="FFFFFF" w:val="clear"/>
        </w:rPr>
        <w:t xml:space="preserve"> Türkiye Çocuk Hastalıkları Dergisi 2012; 6(4): 245-248.</w:t>
      </w:r>
    </w:p>
    <w:p>
      <w:pPr>
        <w:pStyle w:val="ListeParagraf"/>
        <w:numPr>
          <w:ilvl w:val="0"/>
          <w:numId w:val="1"/>
        </w:numPr>
        <w:jc w:val="both"/>
        <w:rPr/>
      </w:pPr>
      <w:r>
        <w:rPr>
          <w:rFonts w:cs="Times New Roman" w:ascii="Times New Roman" w:hAnsi="Times New Roman"/>
          <w:color w:val="212121"/>
          <w:sz w:val="24"/>
          <w:szCs w:val="24"/>
          <w:highlight w:val="white"/>
          <w:u w:val="single"/>
        </w:rPr>
        <w:t>Arman Bilir, Ö.</w:t>
      </w:r>
      <w:r>
        <w:rPr>
          <w:rFonts w:cs="Times New Roman" w:ascii="Times New Roman" w:hAnsi="Times New Roman"/>
          <w:color w:val="212121"/>
          <w:sz w:val="24"/>
          <w:szCs w:val="24"/>
          <w:highlight w:val="white"/>
        </w:rPr>
        <w:t xml:space="preserve"> , Mengen, E. , Kocaay, P. &amp; Vidinlisan, S. (2021). Tip 1 Diabetes Mellitus’lu Çocuk ve Adolesan Hastaların Retrospektif Olarak Değerlendirilmesi: Tek Merkez Deneyimi . Türkiye Çocuk Hastalıkları Dergisi , 15 (2) , 142-149 . DOI: 10.12956/tchd.845703</w:t>
      </w:r>
    </w:p>
    <w:p>
      <w:pPr>
        <w:pStyle w:val="ListeParagraf"/>
        <w:jc w:val="both"/>
        <w:rPr>
          <w:rFonts w:ascii="Segoe UI" w:hAnsi="Segoe UI" w:cs="Segoe UI"/>
          <w:b/>
          <w:b/>
          <w:bCs/>
          <w:color w:val="212121"/>
          <w:highlight w:val="white"/>
        </w:rPr>
      </w:pPr>
      <w:r>
        <w:rPr>
          <w:rFonts w:cs="Segoe UI" w:ascii="Segoe UI" w:hAnsi="Segoe UI"/>
          <w:b/>
          <w:bCs/>
          <w:color w:val="212121"/>
          <w:shd w:fill="FFFFFF" w:val="clear"/>
        </w:rPr>
      </w:r>
    </w:p>
    <w:p>
      <w:pPr>
        <w:pStyle w:val="Normal"/>
        <w:jc w:val="both"/>
        <w:rPr/>
      </w:pPr>
      <w:r>
        <w:rPr>
          <w:rFonts w:cs="Segoe UI" w:ascii="Segoe UI" w:hAnsi="Segoe UI"/>
          <w:b/>
          <w:bCs/>
          <w:color w:val="212121"/>
          <w:shd w:fill="FFFFFF" w:val="clear"/>
        </w:rPr>
        <w:t>Sözlü Sunum</w:t>
      </w:r>
    </w:p>
    <w:p>
      <w:pPr>
        <w:pStyle w:val="ListeParagraf"/>
        <w:numPr>
          <w:ilvl w:val="0"/>
          <w:numId w:val="2"/>
        </w:numPr>
        <w:spacing w:lineRule="auto" w:line="276" w:before="0" w:after="200"/>
        <w:contextualSpacing/>
        <w:jc w:val="both"/>
        <w:rPr/>
      </w:pPr>
      <w:r>
        <w:rPr>
          <w:rFonts w:cs="Times New Roman" w:ascii="Times New Roman" w:hAnsi="Times New Roman"/>
          <w:sz w:val="24"/>
          <w:szCs w:val="24"/>
        </w:rPr>
        <w:t xml:space="preserve">Meric Kaymak Cihan , Fatma Belgin Ataç , </w:t>
      </w:r>
      <w:r>
        <w:rPr>
          <w:rFonts w:cs="Times New Roman" w:ascii="Times New Roman" w:hAnsi="Times New Roman"/>
          <w:b/>
          <w:sz w:val="24"/>
          <w:szCs w:val="24"/>
          <w:u w:val="single"/>
        </w:rPr>
        <w:t>Özlem Arman Bilir,</w:t>
      </w:r>
      <w:r>
        <w:rPr>
          <w:rFonts w:cs="Times New Roman" w:ascii="Times New Roman" w:hAnsi="Times New Roman"/>
          <w:sz w:val="24"/>
          <w:szCs w:val="24"/>
        </w:rPr>
        <w:t xml:space="preserve"> Tekin Aksu, Şerife Mehtap Kanbur, Namık Yaşar. Özbek ÇOCUKLUK ÇAĞI KÖK HÜCRE TRANSPLANTASYONUNDA TROMBOTİK RİSK FAKTÖRLERİ İLE VENO-OKLUSİF HASTALIK . Ulusal Kemik İliği Transplantasyonu ve Hücresel Tedaviler Kongresi. 1-2 Mart 2019, Antalya, SS-01 </w:t>
      </w:r>
    </w:p>
    <w:p>
      <w:pPr>
        <w:pStyle w:val="ListeParagraf"/>
        <w:numPr>
          <w:ilvl w:val="0"/>
          <w:numId w:val="2"/>
        </w:numPr>
        <w:spacing w:lineRule="auto" w:line="276" w:before="0" w:after="200"/>
        <w:contextualSpacing/>
        <w:jc w:val="both"/>
        <w:rPr/>
      </w:pPr>
      <w:r>
        <w:rPr>
          <w:rFonts w:cs="Times New Roman" w:ascii="Times New Roman" w:hAnsi="Times New Roman"/>
          <w:sz w:val="24"/>
          <w:szCs w:val="24"/>
        </w:rPr>
        <w:t xml:space="preserve">Melek Işık, Zeliha Güzelküçük, </w:t>
      </w:r>
      <w:r>
        <w:rPr>
          <w:rFonts w:cs="Times New Roman" w:ascii="Times New Roman" w:hAnsi="Times New Roman"/>
          <w:b/>
          <w:sz w:val="24"/>
          <w:szCs w:val="24"/>
          <w:u w:val="single"/>
        </w:rPr>
        <w:t>Özlem Arman Bilir,</w:t>
      </w:r>
      <w:r>
        <w:rPr>
          <w:rFonts w:cs="Times New Roman" w:ascii="Times New Roman" w:hAnsi="Times New Roman"/>
          <w:sz w:val="24"/>
          <w:szCs w:val="24"/>
        </w:rPr>
        <w:t xml:space="preserve"> Dilek Kaçar, Pamir Işık, Abdurrahman Kara, Vildan Çulha, İnci Yaman Bajin, Dilek Gökçebay, Namık Yaşar Özbek, Neşe Yaralı. ÇOCUKLUK ÇAĞI AKUT LENFOBLASTİK LÖSEMİSİNİN ALL IC‐BFM 2009 KEMOTERAPİ PROTOKOLÜ İLE TEDAVİSİ: TEK MERKEZ SONUÇLARI.</w:t>
      </w:r>
      <w:hyperlink r:id="rId5">
        <w:r>
          <w:rPr>
            <w:rStyle w:val="NternetBalants"/>
            <w:rFonts w:cs="Times New Roman" w:ascii="Times New Roman" w:hAnsi="Times New Roman"/>
            <w:sz w:val="24"/>
            <w:szCs w:val="24"/>
          </w:rPr>
          <w:t>12.Ulusal Pediatrik Hematoloji Kongresi</w:t>
        </w:r>
      </w:hyperlink>
      <w:r>
        <w:rPr>
          <w:rFonts w:cs="Times New Roman" w:ascii="Times New Roman" w:hAnsi="Times New Roman"/>
          <w:sz w:val="24"/>
          <w:szCs w:val="24"/>
        </w:rPr>
        <w:t xml:space="preserve">. 24-27 Nisan 2019, Konya, </w:t>
      </w:r>
      <w:r>
        <w:rPr>
          <w:rFonts w:cs="Times New Roman" w:ascii="Times New Roman" w:hAnsi="Times New Roman"/>
          <w:color w:val="0D0D0D"/>
          <w:sz w:val="24"/>
          <w:szCs w:val="24"/>
        </w:rPr>
        <w:t>SS-03</w:t>
      </w:r>
      <w:r>
        <w:rPr>
          <w:rFonts w:cs="Times New Roman" w:ascii="Times New Roman" w:hAnsi="Times New Roman"/>
          <w:color w:val="FF0000"/>
          <w:sz w:val="24"/>
          <w:szCs w:val="24"/>
        </w:rPr>
        <w:t xml:space="preserve"> </w:t>
      </w:r>
    </w:p>
    <w:p>
      <w:pPr>
        <w:pStyle w:val="ListeParagraf"/>
        <w:numPr>
          <w:ilvl w:val="0"/>
          <w:numId w:val="2"/>
        </w:numPr>
        <w:spacing w:lineRule="auto" w:line="276" w:before="0" w:after="200"/>
        <w:contextualSpacing/>
        <w:jc w:val="both"/>
        <w:rPr/>
      </w:pPr>
      <w:r>
        <w:rPr>
          <w:rFonts w:cs="Times New Roman" w:ascii="Times New Roman" w:hAnsi="Times New Roman"/>
        </w:rPr>
        <w:t xml:space="preserve">Dilek Kaçar , Tekin Aksu , Pamir Işık , </w:t>
      </w:r>
      <w:r>
        <w:rPr>
          <w:rFonts w:cs="Times New Roman" w:ascii="Times New Roman" w:hAnsi="Times New Roman"/>
          <w:b/>
          <w:u w:val="single"/>
        </w:rPr>
        <w:t>Özlem Arman Bilir</w:t>
      </w:r>
      <w:r>
        <w:rPr>
          <w:rFonts w:cs="Times New Roman" w:ascii="Times New Roman" w:hAnsi="Times New Roman"/>
        </w:rPr>
        <w:t xml:space="preserve"> , Neşe Yaralı. KONJENİTAL TROMBOTİK TROMBOSİTOPENİK PURPURA TANILI ÜÇ OLGU. 11. Ulusal Pediatrik Hematoloji Kongresi,İzmir. 04–07 Mayıs 2017.SS-1 </w:t>
      </w:r>
    </w:p>
    <w:p>
      <w:pPr>
        <w:pStyle w:val="ListeParagraf"/>
        <w:spacing w:lineRule="auto" w:line="276" w:before="0" w:after="200"/>
        <w:contextualSpacing/>
        <w:jc w:val="both"/>
        <w:rPr>
          <w:rFonts w:ascii="Times New Roman" w:hAnsi="Times New Roman" w:cs="Times New Roman"/>
          <w:sz w:val="24"/>
          <w:szCs w:val="24"/>
        </w:rPr>
      </w:pPr>
      <w:r>
        <w:rPr>
          <w:rFonts w:cs="Times New Roman" w:ascii="Times New Roman" w:hAnsi="Times New Roman"/>
          <w:sz w:val="24"/>
          <w:szCs w:val="24"/>
        </w:rPr>
      </w:r>
    </w:p>
    <w:p>
      <w:pPr>
        <w:pStyle w:val="ListeParagraf"/>
        <w:numPr>
          <w:ilvl w:val="0"/>
          <w:numId w:val="2"/>
        </w:numPr>
        <w:spacing w:lineRule="auto" w:line="276" w:before="0" w:after="200"/>
        <w:contextualSpacing/>
        <w:jc w:val="both"/>
        <w:rPr/>
      </w:pPr>
      <w:r>
        <w:rPr>
          <w:rFonts w:cs="Times New Roman" w:ascii="Times New Roman" w:hAnsi="Times New Roman"/>
          <w:color w:val="000000"/>
        </w:rPr>
        <w:t xml:space="preserve">PRA ÖZLEM </w:t>
      </w:r>
      <w:r>
        <w:rPr>
          <w:rFonts w:cs="Times New Roman" w:ascii="Times New Roman" w:hAnsi="Times New Roman"/>
          <w:b/>
          <w:bCs/>
          <w:u w:val="single"/>
        </w:rPr>
        <w:t>Özlem Arman Bilir,</w:t>
      </w:r>
      <w:r>
        <w:rPr>
          <w:rFonts w:cs="Times New Roman" w:ascii="Times New Roman" w:hAnsi="Times New Roman"/>
        </w:rPr>
        <w:t xml:space="preserve"> İkbal Ok Bozkaya, Mehtap Kanbur, Melek Işık, Klara Dalva, Ali Kudret Adiloğlu, Namık Yaşar Özbek </w:t>
      </w:r>
      <w:r>
        <w:rPr>
          <w:rFonts w:cs="Times New Roman" w:ascii="Times New Roman" w:hAnsi="Times New Roman"/>
          <w:color w:val="000000"/>
          <w:sz w:val="24"/>
          <w:szCs w:val="24"/>
        </w:rPr>
        <w:t>Ulusal Kemik İliği Transplantasyonu ve Hücresel Tedaviler Kongresi</w:t>
      </w:r>
      <w:r>
        <w:rPr>
          <w:rFonts w:cs="Times New Roman" w:ascii="Times New Roman" w:hAnsi="Times New Roman"/>
          <w:color w:val="000000"/>
        </w:rPr>
        <w:t xml:space="preserve"> 2020 </w:t>
      </w:r>
    </w:p>
    <w:p>
      <w:pPr>
        <w:pStyle w:val="ListeParagraf"/>
        <w:jc w:val="both"/>
        <w:rPr>
          <w:rFonts w:ascii="Times New Roman" w:hAnsi="Times New Roman" w:cs="Times New Roman"/>
          <w:sz w:val="24"/>
          <w:szCs w:val="24"/>
        </w:rPr>
      </w:pPr>
      <w:r>
        <w:rPr>
          <w:rFonts w:cs="Times New Roman" w:ascii="Times New Roman" w:hAnsi="Times New Roman"/>
          <w:sz w:val="24"/>
          <w:szCs w:val="24"/>
        </w:rPr>
      </w:r>
    </w:p>
    <w:p>
      <w:pPr>
        <w:pStyle w:val="ListeParagraf"/>
        <w:numPr>
          <w:ilvl w:val="0"/>
          <w:numId w:val="2"/>
        </w:numPr>
        <w:spacing w:lineRule="auto" w:line="276" w:before="0" w:after="200"/>
        <w:contextualSpacing/>
        <w:jc w:val="both"/>
        <w:rPr/>
      </w:pPr>
      <w:r>
        <w:rPr>
          <w:rFonts w:cs="Times New Roman" w:ascii="Times New Roman" w:hAnsi="Times New Roman"/>
        </w:rPr>
        <w:t xml:space="preserve">Ayça Koca Yozgat, Zeliha Güzelküçük, Tekin Aksu, </w:t>
      </w:r>
      <w:r>
        <w:rPr>
          <w:rFonts w:cs="Times New Roman" w:ascii="Times New Roman" w:hAnsi="Times New Roman"/>
          <w:b/>
          <w:u w:val="single"/>
        </w:rPr>
        <w:t>Özlem Arman Bilir,</w:t>
      </w:r>
      <w:r>
        <w:rPr>
          <w:rFonts w:cs="Times New Roman" w:ascii="Times New Roman" w:hAnsi="Times New Roman"/>
        </w:rPr>
        <w:t xml:space="preserve"> Melek Işık, Mehtap Olcar Kanbur, İkbal Ok Bozkaya, Namık Yaşar Özbek. HEMATOPOETİK KÖK HÜCRE NAKLİ SONRASI AKUT VE KRONİK GRAFT VERSUS HOST HASTALIĞI </w:t>
      </w:r>
    </w:p>
    <w:p>
      <w:pPr>
        <w:pStyle w:val="ListeParagraf"/>
        <w:jc w:val="both"/>
        <w:rPr/>
      </w:pPr>
      <w:r>
        <w:rPr>
          <w:rFonts w:cs="Times New Roman" w:ascii="Times New Roman" w:hAnsi="Times New Roman"/>
        </w:rPr>
        <w:t xml:space="preserve">KLİNİK SONUÇLARI: TEK MERKEZ DENEYİMİ. Ulusal Kemik İliği Transplantasyonu ve Hücresel Tedaviler Kongresi. 1-2 Mart 2019, Antalya, SS-24 </w:t>
      </w:r>
    </w:p>
    <w:p>
      <w:pPr>
        <w:pStyle w:val="ListeParagraf"/>
        <w:jc w:val="both"/>
        <w:rPr>
          <w:rFonts w:ascii="Times New Roman" w:hAnsi="Times New Roman" w:cs="Times New Roman"/>
        </w:rPr>
      </w:pPr>
      <w:r>
        <w:rPr>
          <w:rFonts w:cs="Times New Roman" w:ascii="Times New Roman" w:hAnsi="Times New Roman"/>
        </w:rPr>
      </w:r>
    </w:p>
    <w:p>
      <w:pPr>
        <w:pStyle w:val="ListeParagraf"/>
        <w:numPr>
          <w:ilvl w:val="0"/>
          <w:numId w:val="2"/>
        </w:numPr>
        <w:spacing w:lineRule="auto" w:line="276" w:before="0" w:after="200"/>
        <w:contextualSpacing/>
        <w:jc w:val="both"/>
        <w:rPr/>
      </w:pPr>
      <w:r>
        <w:rPr>
          <w:rFonts w:cs="Times New Roman" w:ascii="Times New Roman" w:hAnsi="Times New Roman"/>
          <w:b/>
          <w:u w:val="single"/>
        </w:rPr>
        <w:t>Özlem Arman Bilir</w:t>
      </w:r>
      <w:r>
        <w:rPr>
          <w:rFonts w:cs="Times New Roman" w:ascii="Times New Roman" w:hAnsi="Times New Roman"/>
        </w:rPr>
        <w:t xml:space="preserve">, Emre Arslan, Melek Işık, Mehtap Kanbur, İkbal Ok Bozkaya, Namık Yaşar Özbek. HKHN İÇİN TOPLANAN KEMİK İLİĞİ ÜRÜNLERİNDEKİ GENÇ HEMATOGON MİKTARI ÖNEMLİ MİDİR? </w:t>
      </w:r>
      <w:hyperlink r:id="rId6">
        <w:r>
          <w:rPr>
            <w:rStyle w:val="NternetBalants"/>
            <w:rFonts w:cs="Times New Roman" w:ascii="Times New Roman" w:hAnsi="Times New Roman"/>
          </w:rPr>
          <w:t>12.Ulusal Pediatrik Hematoloji Kongresi</w:t>
        </w:r>
      </w:hyperlink>
      <w:r>
        <w:rPr>
          <w:rFonts w:cs="Times New Roman" w:ascii="Times New Roman" w:hAnsi="Times New Roman"/>
        </w:rPr>
        <w:t xml:space="preserve">. 1-2 Mart 2019. 24-27 Nisan 2019, Konya, SS-15 </w:t>
      </w:r>
    </w:p>
    <w:p>
      <w:pPr>
        <w:pStyle w:val="Normal"/>
        <w:jc w:val="both"/>
        <w:rPr>
          <w:rFonts w:ascii="Times New Roman" w:hAnsi="Times New Roman" w:cs="Times New Roman"/>
        </w:rPr>
      </w:pPr>
      <w:r>
        <w:rPr>
          <w:rFonts w:cs="Times New Roman" w:ascii="Times New Roman" w:hAnsi="Times New Roman"/>
        </w:rPr>
      </w:r>
    </w:p>
    <w:p>
      <w:pPr>
        <w:pStyle w:val="ListeParagraf"/>
        <w:numPr>
          <w:ilvl w:val="0"/>
          <w:numId w:val="2"/>
        </w:numPr>
        <w:spacing w:lineRule="auto" w:line="276" w:before="0" w:after="200"/>
        <w:contextualSpacing/>
        <w:jc w:val="both"/>
        <w:rPr/>
      </w:pPr>
      <w:r>
        <w:rPr>
          <w:rFonts w:cs="Times New Roman" w:ascii="Times New Roman" w:hAnsi="Times New Roman"/>
        </w:rPr>
        <w:t xml:space="preserve">Pamir Işık , İkbal Ok Bozkaya , Tekin Aksu , </w:t>
      </w:r>
      <w:r>
        <w:rPr>
          <w:rFonts w:cs="Times New Roman" w:ascii="Times New Roman" w:hAnsi="Times New Roman"/>
          <w:b/>
          <w:u w:val="single"/>
        </w:rPr>
        <w:t>Özlem Arman Bilir</w:t>
      </w:r>
      <w:r>
        <w:rPr>
          <w:rFonts w:cs="Times New Roman" w:ascii="Times New Roman" w:hAnsi="Times New Roman"/>
        </w:rPr>
        <w:t xml:space="preserve"> , Fatih Azık , Neşe Yaralı , Namık Özbek. ÇOCUKLARDA HEMATOPOETİK KÖK HÜCRE NAKLİ SONRASINDA GELİŞEN HEPATİK SİNÜZOİDAL OBSTRUKSİYON SENDROMU TEDAVİSİNDE DEFİBROTİD UYGULAMASI. 11. Ulusal Pediatrik Hematoloji Kongresi,İzmir. 04–07 Mayıs 2017. SS-15   </w:t>
      </w:r>
    </w:p>
    <w:p>
      <w:pPr>
        <w:pStyle w:val="ListeParagraf"/>
        <w:numPr>
          <w:ilvl w:val="0"/>
          <w:numId w:val="2"/>
        </w:numPr>
        <w:jc w:val="both"/>
        <w:rPr/>
      </w:pPr>
      <w:r>
        <w:rPr>
          <w:rFonts w:cs="Times New Roman" w:ascii="Times New Roman" w:hAnsi="Times New Roman"/>
          <w:b/>
          <w:bCs/>
          <w:sz w:val="24"/>
          <w:szCs w:val="24"/>
          <w:u w:val="single"/>
        </w:rPr>
        <w:t>Özlem Arman Bilir</w:t>
      </w:r>
      <w:r>
        <w:rPr>
          <w:rFonts w:cs="Times New Roman" w:ascii="Times New Roman" w:hAnsi="Times New Roman"/>
          <w:sz w:val="24"/>
          <w:szCs w:val="24"/>
          <w:u w:val="single"/>
        </w:rPr>
        <w:t xml:space="preserve"> ,</w:t>
      </w:r>
      <w:r>
        <w:rPr>
          <w:rFonts w:cs="Times New Roman" w:ascii="Times New Roman" w:hAnsi="Times New Roman"/>
          <w:sz w:val="24"/>
          <w:szCs w:val="24"/>
        </w:rPr>
        <w:t xml:space="preserve"> Yasin Köksal. ÇOCUK HASTALARDA DONDURULMUŞ KÖK HÜCRE ÜRÜNLERİ HEMATOPOETİK KÖK HÜCRE NAKLİNİN KLİNİK SONUÇLARINI ETKİLER Mİ?15. Ulusal Aferez Kongresi. 24-27 Aralık 2020. Online. SS-1</w:t>
      </w:r>
    </w:p>
    <w:p>
      <w:pPr>
        <w:pStyle w:val="ListeParagraf"/>
        <w:numPr>
          <w:ilvl w:val="0"/>
          <w:numId w:val="2"/>
        </w:numPr>
        <w:jc w:val="both"/>
        <w:rPr/>
      </w:pPr>
      <w:r>
        <w:rPr>
          <w:rFonts w:cs="Times New Roman" w:ascii="Times New Roman" w:hAnsi="Times New Roman"/>
          <w:b/>
          <w:bCs/>
          <w:sz w:val="24"/>
          <w:szCs w:val="24"/>
          <w:u w:val="single"/>
        </w:rPr>
        <w:t>Özlem Arman Bilir.</w:t>
      </w:r>
      <w:r>
        <w:rPr>
          <w:rFonts w:cs="Times New Roman" w:ascii="Times New Roman" w:hAnsi="Times New Roman"/>
          <w:sz w:val="24"/>
          <w:szCs w:val="24"/>
          <w:u w:val="single"/>
        </w:rPr>
        <w:t xml:space="preserve"> </w:t>
      </w:r>
      <w:r>
        <w:rPr>
          <w:rFonts w:cs="Times New Roman" w:ascii="Times New Roman" w:hAnsi="Times New Roman"/>
          <w:sz w:val="24"/>
          <w:szCs w:val="24"/>
        </w:rPr>
        <w:t>AKUT LENFOBLAST</w:t>
      </w:r>
      <w:r>
        <w:rPr>
          <w:rFonts w:cs="Times New Roman" w:ascii="Times New Roman" w:hAnsi="Times New Roman"/>
          <w:sz w:val="24"/>
          <w:szCs w:val="24"/>
        </w:rPr>
        <w:t>İ</w:t>
      </w:r>
      <w:r>
        <w:rPr>
          <w:rFonts w:cs="Times New Roman" w:ascii="Times New Roman" w:hAnsi="Times New Roman"/>
          <w:sz w:val="24"/>
          <w:szCs w:val="24"/>
        </w:rPr>
        <w:t>K L</w:t>
      </w:r>
      <w:r>
        <w:rPr>
          <w:rFonts w:cs="Times New Roman" w:ascii="Times New Roman" w:hAnsi="Times New Roman"/>
          <w:sz w:val="24"/>
          <w:szCs w:val="24"/>
        </w:rPr>
        <w:t>Ö</w:t>
      </w:r>
      <w:r>
        <w:rPr>
          <w:rFonts w:cs="Times New Roman" w:ascii="Times New Roman" w:hAnsi="Times New Roman"/>
          <w:sz w:val="24"/>
          <w:szCs w:val="24"/>
        </w:rPr>
        <w:t>SEM</w:t>
      </w:r>
      <w:r>
        <w:rPr>
          <w:rFonts w:cs="Times New Roman" w:ascii="Times New Roman" w:hAnsi="Times New Roman"/>
          <w:sz w:val="24"/>
          <w:szCs w:val="24"/>
        </w:rPr>
        <w:t>İ</w:t>
      </w:r>
      <w:r>
        <w:rPr>
          <w:rFonts w:cs="Times New Roman" w:ascii="Times New Roman" w:hAnsi="Times New Roman"/>
          <w:sz w:val="24"/>
          <w:szCs w:val="24"/>
        </w:rPr>
        <w:t xml:space="preserve"> TANISIYLA TEDAV</w:t>
      </w:r>
      <w:r>
        <w:rPr>
          <w:rFonts w:cs="Times New Roman" w:ascii="Times New Roman" w:hAnsi="Times New Roman"/>
          <w:sz w:val="24"/>
          <w:szCs w:val="24"/>
        </w:rPr>
        <w:t>İ</w:t>
      </w:r>
      <w:r>
        <w:rPr>
          <w:rFonts w:cs="Times New Roman" w:ascii="Times New Roman" w:hAnsi="Times New Roman"/>
          <w:sz w:val="24"/>
          <w:szCs w:val="24"/>
        </w:rPr>
        <w:t xml:space="preserve"> ED</w:t>
      </w:r>
      <w:r>
        <w:rPr>
          <w:rFonts w:cs="Times New Roman" w:ascii="Times New Roman" w:hAnsi="Times New Roman"/>
          <w:sz w:val="24"/>
          <w:szCs w:val="24"/>
        </w:rPr>
        <w:t>İ</w:t>
      </w:r>
      <w:r>
        <w:rPr>
          <w:rFonts w:cs="Times New Roman" w:ascii="Times New Roman" w:hAnsi="Times New Roman"/>
          <w:sz w:val="24"/>
          <w:szCs w:val="24"/>
        </w:rPr>
        <w:t>LEN ÇOCUKLARDA METOTREXAT N</w:t>
      </w:r>
      <w:r>
        <w:rPr>
          <w:rFonts w:cs="Times New Roman" w:ascii="Times New Roman" w:hAnsi="Times New Roman"/>
          <w:sz w:val="24"/>
          <w:szCs w:val="24"/>
        </w:rPr>
        <w:t>Ö</w:t>
      </w:r>
      <w:r>
        <w:rPr>
          <w:rFonts w:cs="Times New Roman" w:ascii="Times New Roman" w:hAnsi="Times New Roman"/>
          <w:sz w:val="24"/>
          <w:szCs w:val="24"/>
        </w:rPr>
        <w:t>ROTOKS</w:t>
      </w:r>
      <w:r>
        <w:rPr>
          <w:rFonts w:cs="Times New Roman" w:ascii="Times New Roman" w:hAnsi="Times New Roman"/>
          <w:sz w:val="24"/>
          <w:szCs w:val="24"/>
        </w:rPr>
        <w:t>İ</w:t>
      </w:r>
      <w:r>
        <w:rPr>
          <w:rFonts w:cs="Times New Roman" w:ascii="Times New Roman" w:hAnsi="Times New Roman"/>
          <w:sz w:val="24"/>
          <w:szCs w:val="24"/>
        </w:rPr>
        <w:t>S</w:t>
      </w:r>
      <w:r>
        <w:rPr>
          <w:rFonts w:cs="Times New Roman" w:ascii="Times New Roman" w:hAnsi="Times New Roman"/>
          <w:sz w:val="24"/>
          <w:szCs w:val="24"/>
        </w:rPr>
        <w:t>İ</w:t>
      </w:r>
      <w:r>
        <w:rPr>
          <w:rFonts w:cs="Times New Roman" w:ascii="Times New Roman" w:hAnsi="Times New Roman"/>
          <w:sz w:val="24"/>
          <w:szCs w:val="24"/>
        </w:rPr>
        <w:t>TES</w:t>
      </w:r>
      <w:r>
        <w:rPr>
          <w:rFonts w:cs="Times New Roman" w:ascii="Times New Roman" w:hAnsi="Times New Roman"/>
          <w:sz w:val="24"/>
          <w:szCs w:val="24"/>
        </w:rPr>
        <w:t>İ</w:t>
      </w:r>
      <w:r>
        <w:rPr>
          <w:rFonts w:cs="Times New Roman" w:ascii="Times New Roman" w:hAnsi="Times New Roman"/>
          <w:sz w:val="24"/>
          <w:szCs w:val="24"/>
        </w:rPr>
        <w:t>.Sağlıklı Büyüyen Çocuk Kongresi. 18-20 Aralık 2020. Online. S-61</w:t>
      </w:r>
    </w:p>
    <w:p>
      <w:pPr>
        <w:pStyle w:val="ListeParagraf"/>
        <w:jc w:val="both"/>
        <w:rPr>
          <w:rFonts w:ascii="Times New Roman" w:hAnsi="Times New Roman" w:cs="Times New Roman"/>
          <w:sz w:val="24"/>
          <w:szCs w:val="24"/>
        </w:rPr>
      </w:pPr>
      <w:r>
        <w:rPr>
          <w:rFonts w:cs="Times New Roman" w:ascii="Times New Roman" w:hAnsi="Times New Roman"/>
          <w:sz w:val="24"/>
          <w:szCs w:val="24"/>
        </w:rPr>
      </w:r>
    </w:p>
    <w:p>
      <w:pPr>
        <w:pStyle w:val="ListeParagraf"/>
        <w:numPr>
          <w:ilvl w:val="0"/>
          <w:numId w:val="2"/>
        </w:numPr>
        <w:jc w:val="both"/>
        <w:rPr/>
      </w:pPr>
      <w:r>
        <w:rPr>
          <w:rFonts w:cs="Times New Roman" w:ascii="Times New Roman" w:hAnsi="Times New Roman"/>
          <w:b/>
          <w:bCs/>
          <w:sz w:val="24"/>
          <w:szCs w:val="24"/>
          <w:u w:val="single"/>
        </w:rPr>
        <w:t>Özlem Arman Bilir</w:t>
      </w:r>
      <w:r>
        <w:rPr>
          <w:rFonts w:cs="Times New Roman" w:ascii="Times New Roman" w:hAnsi="Times New Roman"/>
          <w:sz w:val="24"/>
          <w:szCs w:val="24"/>
        </w:rPr>
        <w:t>.Kemik İliği Transplantasyonu Geç Dönem Akciğer Komplikasyonları. Hematoloji Uzmanlık Derneği.12-15 Aralık 2020. Konuşma</w:t>
      </w:r>
    </w:p>
    <w:p>
      <w:pPr>
        <w:pStyle w:val="ListeParagraf"/>
        <w:jc w:val="both"/>
        <w:rPr>
          <w:rFonts w:ascii="Times New Roman" w:hAnsi="Times New Roman" w:cs="Times New Roman"/>
          <w:sz w:val="24"/>
          <w:szCs w:val="24"/>
        </w:rPr>
      </w:pPr>
      <w:r>
        <w:rPr>
          <w:rFonts w:cs="Times New Roman" w:ascii="Times New Roman" w:hAnsi="Times New Roman"/>
          <w:sz w:val="24"/>
          <w:szCs w:val="24"/>
        </w:rPr>
      </w:r>
    </w:p>
    <w:p>
      <w:pPr>
        <w:pStyle w:val="ListeParagraf"/>
        <w:numPr>
          <w:ilvl w:val="0"/>
          <w:numId w:val="2"/>
        </w:numPr>
        <w:jc w:val="both"/>
        <w:rPr/>
      </w:pPr>
      <w:r>
        <w:rPr>
          <w:rFonts w:cs="Times New Roman" w:ascii="Times New Roman" w:hAnsi="Times New Roman"/>
          <w:b/>
          <w:bCs/>
          <w:sz w:val="24"/>
          <w:szCs w:val="24"/>
          <w:u w:val="single"/>
        </w:rPr>
        <w:t>Özlem Arman Bilir</w:t>
      </w:r>
      <w:r>
        <w:rPr>
          <w:rFonts w:cs="Times New Roman" w:ascii="Times New Roman" w:hAnsi="Times New Roman"/>
          <w:sz w:val="24"/>
          <w:szCs w:val="24"/>
        </w:rPr>
        <w:t xml:space="preserve">, Namık Yaşar Özbek. MPO Eksikliği: Tek Merke Deneyimi. Ulusal Pediatrik Hematoloji Kongresi. Antalya, 14-17.Ekim 2021. </w:t>
      </w:r>
      <w:r>
        <w:rPr>
          <w:rFonts w:cs="Times New Roman" w:ascii="Times New Roman" w:hAnsi="Times New Roman"/>
          <w:b/>
          <w:bCs/>
          <w:sz w:val="24"/>
          <w:szCs w:val="24"/>
        </w:rPr>
        <w:t>Sözlü sunum 2. Ödülü</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Kitap Bölüm Yazarlığı</w:t>
      </w:r>
    </w:p>
    <w:p>
      <w:pPr>
        <w:pStyle w:val="ListeParagraf"/>
        <w:numPr>
          <w:ilvl w:val="0"/>
          <w:numId w:val="3"/>
        </w:numPr>
        <w:autoSpaceDE w:val="false"/>
        <w:spacing w:lineRule="auto" w:line="240" w:before="0" w:after="0"/>
        <w:contextualSpacing/>
        <w:jc w:val="both"/>
        <w:rPr>
          <w:b w:val="false"/>
          <w:b w:val="false"/>
          <w:bCs w:val="false"/>
        </w:rPr>
      </w:pPr>
      <w:r>
        <w:rPr>
          <w:rFonts w:cs="Times New Roman" w:ascii="Times New Roman" w:hAnsi="Times New Roman"/>
          <w:b w:val="false"/>
          <w:bCs w:val="false"/>
          <w:sz w:val="24"/>
          <w:szCs w:val="24"/>
          <w:u w:val="single"/>
        </w:rPr>
        <w:t>Özlem ARMAN BİLİR,</w:t>
      </w:r>
      <w:r>
        <w:rPr>
          <w:rFonts w:cs="Times New Roman" w:ascii="Times New Roman" w:hAnsi="Times New Roman"/>
          <w:b w:val="false"/>
          <w:bCs w:val="false"/>
          <w:sz w:val="24"/>
          <w:szCs w:val="24"/>
        </w:rPr>
        <w:t xml:space="preserve"> İkbal OK BOZKAYA, Namık Yaşar ÖZBEK</w:t>
      </w:r>
    </w:p>
    <w:p>
      <w:pPr>
        <w:pStyle w:val="ListeParagraf"/>
        <w:numPr>
          <w:ilvl w:val="0"/>
          <w:numId w:val="0"/>
        </w:numPr>
        <w:autoSpaceDE w:val="false"/>
        <w:spacing w:lineRule="auto" w:line="240" w:before="0" w:after="0"/>
        <w:ind w:left="1440" w:hanging="0"/>
        <w:contextualSpacing/>
        <w:jc w:val="both"/>
        <w:rPr/>
      </w:pPr>
      <w:r>
        <w:rPr>
          <w:rFonts w:cs="Times New Roman" w:ascii="Times New Roman" w:hAnsi="Times New Roman"/>
          <w:sz w:val="24"/>
          <w:szCs w:val="24"/>
        </w:rPr>
        <w:t>Kitap: Primer İmmün Yetmezliklerde Hematopoetik Kök Hücre Nakli Sonrası Gelişen</w:t>
      </w:r>
    </w:p>
    <w:p>
      <w:pPr>
        <w:pStyle w:val="Normal"/>
        <w:autoSpaceDE w:val="false"/>
        <w:spacing w:lineRule="auto" w:line="240" w:before="0" w:after="0"/>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Sekonder Maligniteler</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Bölüm: Secondary Malignancies After Hematopoietic Stem Cell Transplantation for          Primary Immune Deficiencies</w:t>
      </w:r>
    </w:p>
    <w:p>
      <w:pPr>
        <w:pStyle w:val="Normal"/>
        <w:autoSpaceDE w:val="false"/>
        <w:spacing w:lineRule="auto" w:line="240" w:before="0" w:after="0"/>
        <w:jc w:val="both"/>
        <w:rPr/>
      </w:pPr>
      <w:r>
        <w:rPr>
          <w:rFonts w:eastAsia="Times New Roman" w:cs="Times New Roman" w:ascii="Times New Roman" w:hAnsi="Times New Roman"/>
          <w:sz w:val="24"/>
          <w:szCs w:val="24"/>
        </w:rPr>
        <w:t xml:space="preserve">  </w:t>
      </w:r>
      <w:r>
        <w:rPr>
          <w:rFonts w:cs="Segoe UI" w:ascii="Segoe UI" w:hAnsi="Segoe UI"/>
          <w:color w:val="212121"/>
          <w:shd w:fill="FFFFFF" w:val="clear"/>
        </w:rPr>
        <w:t>2-</w:t>
      </w:r>
      <w:r>
        <w:rPr>
          <w:rFonts w:cs="Arial" w:ascii="Arial" w:hAnsi="Arial"/>
          <w:color w:val="222222"/>
        </w:rPr>
        <w:t xml:space="preserve"> </w:t>
      </w:r>
      <w:r>
        <w:rPr>
          <w:rFonts w:cs="Times New Roman" w:ascii="Times New Roman" w:hAnsi="Times New Roman"/>
          <w:color w:val="222222"/>
          <w:sz w:val="24"/>
          <w:szCs w:val="24"/>
          <w:u w:val="single"/>
        </w:rPr>
        <w:t>Özlem Arman Bilir</w:t>
      </w:r>
      <w:r>
        <w:rPr>
          <w:rFonts w:cs="Times New Roman" w:ascii="Times New Roman" w:hAnsi="Times New Roman"/>
          <w:color w:val="222222"/>
          <w:sz w:val="24"/>
          <w:szCs w:val="24"/>
        </w:rPr>
        <w:t>,Namık Yaşar Özbek</w:t>
      </w:r>
    </w:p>
    <w:p>
      <w:pPr>
        <w:pStyle w:val="Normal"/>
        <w:jc w:val="both"/>
        <w:rPr/>
      </w:pPr>
      <w:r>
        <w:rPr>
          <w:rFonts w:cs="Times New Roman" w:ascii="Times New Roman" w:hAnsi="Times New Roman"/>
          <w:color w:val="222222"/>
          <w:sz w:val="24"/>
          <w:szCs w:val="24"/>
        </w:rPr>
        <w:t xml:space="preserve">          </w:t>
      </w:r>
      <w:r>
        <w:rPr>
          <w:rFonts w:cs="Times New Roman" w:ascii="Times New Roman" w:hAnsi="Times New Roman"/>
          <w:color w:val="222222"/>
          <w:sz w:val="24"/>
          <w:szCs w:val="24"/>
        </w:rPr>
        <w:t>Kitap Adı :</w:t>
      </w:r>
      <w:r>
        <w:rPr>
          <w:rFonts w:cs="Times New Roman" w:ascii="Times New Roman" w:hAnsi="Times New Roman"/>
          <w:sz w:val="24"/>
          <w:szCs w:val="24"/>
        </w:rPr>
        <w:t>Pediatri Kitabı(Dr. SAMİ ULUS)</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Kısım adı:16. HEMATOLOJİ</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Bölüm Adı: HEMATOPOİETİK KÖK HÜCRE NAKL</w:t>
      </w:r>
      <w:r>
        <w:rPr>
          <w:rFonts w:cs="Times New Roman" w:ascii="Times New Roman" w:hAnsi="Times New Roman"/>
          <w:sz w:val="24"/>
          <w:szCs w:val="24"/>
        </w:rPr>
        <w:t>İ</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3-</w:t>
      </w:r>
      <w:r>
        <w:rPr>
          <w:rFonts w:cs="Times New Roman" w:ascii="Times New Roman" w:hAnsi="Times New Roman"/>
          <w:sz w:val="24"/>
          <w:szCs w:val="24"/>
          <w:u w:val="single"/>
        </w:rPr>
        <w:t>Özlem Arman Bilir</w:t>
      </w:r>
      <w:r>
        <w:rPr>
          <w:rFonts w:cs="Times New Roman" w:ascii="Times New Roman" w:hAnsi="Times New Roman"/>
          <w:sz w:val="24"/>
          <w:szCs w:val="24"/>
        </w:rPr>
        <w:t>, Namık Yaşar Özbek</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Türk Pediatrik Hematoloji Derneği</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Kitap Adı: Kalıtsal Anemiler</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Bölüm: Doğuştan immün yetmezlik zemininde gelişen immün hemolitik anemiler</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4-</w:t>
      </w:r>
      <w:r>
        <w:rPr>
          <w:rFonts w:cs="Times New Roman" w:ascii="Times New Roman" w:hAnsi="Times New Roman"/>
          <w:sz w:val="24"/>
          <w:szCs w:val="24"/>
          <w:u w:val="single"/>
        </w:rPr>
        <w:t>Özlem Arman Bilir</w:t>
      </w:r>
      <w:r>
        <w:rPr>
          <w:rFonts w:cs="Times New Roman" w:ascii="Times New Roman" w:hAnsi="Times New Roman"/>
          <w:sz w:val="24"/>
          <w:szCs w:val="24"/>
        </w:rPr>
        <w:t>, Dilek Gürlek Gökçebay</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Kitap Adı: OLGULARLA AKUT LÖSEMİLER</w:t>
      </w:r>
    </w:p>
    <w:p>
      <w:pPr>
        <w:pStyle w:val="Normal"/>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Bölüm 2, Tedavi sürecinde Gelişen Komplikasyonlar</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Yazılan Bölüm: Akut Lenfoblastik Lösemi Olgusunda L-asparaginaz İlişkili           Hipertrigliseridemi</w:t>
      </w:r>
    </w:p>
    <w:p>
      <w:pPr>
        <w:pStyle w:val="Normal"/>
        <w:jc w:val="both"/>
        <w:rPr/>
      </w:pPr>
      <w:r>
        <w:rPr>
          <w:rFonts w:eastAsia="Times New Roman" w:cs="Times New Roman" w:ascii="Times New Roman" w:hAnsi="Times New Roman"/>
          <w:sz w:val="24"/>
          <w:szCs w:val="24"/>
        </w:rPr>
        <w:t xml:space="preserve">      </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5- </w:t>
      </w:r>
      <w:r>
        <w:rPr>
          <w:rFonts w:cs="Times New Roman" w:ascii="Times New Roman" w:hAnsi="Times New Roman"/>
          <w:sz w:val="24"/>
          <w:szCs w:val="24"/>
          <w:u w:val="single"/>
        </w:rPr>
        <w:t>Özlem Arman Bilir</w:t>
      </w:r>
      <w:r>
        <w:rPr>
          <w:rFonts w:cs="Times New Roman" w:ascii="Times New Roman" w:hAnsi="Times New Roman"/>
          <w:sz w:val="24"/>
          <w:szCs w:val="24"/>
        </w:rPr>
        <w:t>, Hüsniye Neşe Yaralı</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Kitap Adı: OLGULARLA AKUT LÖSEMİLER</w:t>
      </w:r>
    </w:p>
    <w:p>
      <w:pPr>
        <w:pStyle w:val="Normal"/>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Bölüm 2, Tedavi sürecinde Gelişen Komplikasyonlar</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Yazılan Bölüm: Akut Promiyelositik Lösemili Bir Olguda Nadir Bir Komplikasyon: Uvulit         </w:t>
      </w:r>
    </w:p>
    <w:p>
      <w:pPr>
        <w:pStyle w:val="Normal"/>
        <w:jc w:val="both"/>
        <w:rPr>
          <w:rFonts w:ascii="Times New Roman" w:hAnsi="Times New Roman" w:cs="Times New Roman"/>
          <w:sz w:val="24"/>
          <w:szCs w:val="24"/>
        </w:rPr>
      </w:pPr>
      <w:r>
        <w:rPr/>
      </w:r>
    </w:p>
    <w:p>
      <w:pPr>
        <w:pStyle w:val="Normal"/>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p>
    <w:p>
      <w:pPr>
        <w:pStyle w:val="Normal"/>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before="0" w:after="160"/>
        <w:rPr/>
      </w:pPr>
      <w:r>
        <w:rPr/>
      </w:r>
    </w:p>
    <w:sectPr>
      <w:headerReference w:type="default" r:id="rId7"/>
      <w:type w:val="nextPage"/>
      <w:pgSz w:w="11906" w:h="16838"/>
      <w:pgMar w:left="1395" w:right="1286" w:header="708"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2"/>
    <w:family w:val="roman"/>
    <w:pitch w:val="variable"/>
  </w:font>
  <w:font w:name="Calibri">
    <w:charset w:val="a2"/>
    <w:family w:val="roman"/>
    <w:pitch w:val="variable"/>
  </w:font>
  <w:font w:name="Liberation Sans">
    <w:altName w:val="Arial"/>
    <w:charset w:val="a2"/>
    <w:family w:val="roman"/>
    <w:pitch w:val="variable"/>
  </w:font>
  <w:font w:name="Times New Roman">
    <w:charset w:val="a2"/>
    <w:family w:val="roman"/>
    <w:pitch w:val="variable"/>
  </w:font>
  <w:font w:name="Calibri">
    <w:charset w:val="a2"/>
    <w:family w:val="swiss"/>
    <w:pitch w:val="variable"/>
  </w:font>
  <w:font w:name="Times New Roman">
    <w:charset w:val="01"/>
    <w:family w:val="roman"/>
    <w:pitch w:val="variable"/>
  </w:font>
  <w:font w:name="Segoe UI">
    <w:charset w:val="a2"/>
    <w:family w:val="swiss"/>
    <w:pitch w:val="variable"/>
  </w:font>
  <w:font w:name="Arial">
    <w:charset w:val="a2"/>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bilgi"/>
      <w:rPr/>
    </w:pPr>
    <w:r>
      <w:rPr/>
      <w:drawing>
        <wp:anchor behindDoc="1" distT="0" distB="0" distL="114300" distR="120650" simplePos="0" locked="0" layoutInCell="1" allowOverlap="1" relativeHeight="2">
          <wp:simplePos x="0" y="0"/>
          <wp:positionH relativeFrom="column">
            <wp:posOffset>-699770</wp:posOffset>
          </wp:positionH>
          <wp:positionV relativeFrom="paragraph">
            <wp:posOffset>-240030</wp:posOffset>
          </wp:positionV>
          <wp:extent cx="2259965" cy="628650"/>
          <wp:effectExtent l="0" t="0" r="0" b="0"/>
          <wp:wrapNone/>
          <wp:docPr id="6" name="Resim 16" descr="C:\Users\hulya.gungor2\AppData\Local\Microsoft\Windows\INetCache\Content.Word\khgm logo yat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6" descr="C:\Users\hulya.gungor2\AppData\Local\Microsoft\Windows\INetCache\Content.Word\khgm logo yatay.png"/>
                  <pic:cNvPicPr>
                    <a:picLocks noChangeAspect="1" noChangeArrowheads="1"/>
                  </pic:cNvPicPr>
                </pic:nvPicPr>
                <pic:blipFill>
                  <a:blip r:embed="rId1"/>
                  <a:stretch>
                    <a:fillRect/>
                  </a:stretch>
                </pic:blipFill>
                <pic:spPr bwMode="auto">
                  <a:xfrm>
                    <a:off x="0" y="0"/>
                    <a:ext cx="2259965" cy="628650"/>
                  </a:xfrm>
                  <a:prstGeom prst="rect">
                    <a:avLst/>
                  </a:prstGeom>
                </pic:spPr>
              </pic:pic>
            </a:graphicData>
          </a:graphic>
        </wp:anchor>
      </w:drawing>
    </w:r>
  </w:p>
  <w:p>
    <w:pPr>
      <w:pStyle w:val="Stbilgi"/>
      <w:rPr/>
    </w:pPr>
    <w:r>
      <w:rPr/>
    </w:r>
  </w:p>
  <w:p>
    <w:pPr>
      <w:pStyle w:val="Stbilgi"/>
      <w:jc w:val="center"/>
      <w:rPr>
        <w:rFonts w:ascii="Calibri" w:hAnsi="Calibri" w:cs="Calibri"/>
        <w:b/>
        <w:b/>
        <w:color w:val="DE0000"/>
        <w:sz w:val="24"/>
        <w:szCs w:val="24"/>
      </w:rPr>
    </w:pPr>
    <w:r>
      <w:rPr>
        <w:rFonts w:cs="Calibri"/>
        <w:b/>
        <w:color w:val="DE0000"/>
        <w:sz w:val="24"/>
        <w:szCs w:val="24"/>
      </w:rPr>
      <w:t>ANKARA ŞEHİR HASTANESİ</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lang w:val="tr-TR"/>
      </w:rPr>
    </w:lvl>
  </w:abstractNum>
  <w:abstractNum w:abstractNumId="2">
    <w:lvl w:ilvl="0">
      <w:start w:val="1"/>
      <w:numFmt w:val="decimal"/>
      <w:lvlText w:val="%1."/>
      <w:lvlJc w:val="left"/>
      <w:pPr>
        <w:ind w:left="720" w:hanging="360"/>
      </w:pPr>
      <w:rPr>
        <w:rFonts w:cs="Times New Roman"/>
      </w:rPr>
    </w:lvl>
  </w:abstractNum>
  <w:abstractNum w:abstractNumId="3">
    <w:lvl w:ilvl="0">
      <w:start w:val="1"/>
      <w:numFmt w:val="decimal"/>
      <w:lvlText w:val="%1-"/>
      <w:lvlJc w:val="left"/>
      <w:pPr>
        <w:ind w:left="720" w:hanging="360"/>
      </w:pPr>
      <w:rPr>
        <w:rFonts w:cs="Times New Roman"/>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compatSetting w:name="compatibilityMode" w:uri="http://schemas.microsoft.com/office/word" w:val="12"/>
    <w:compatSetting w:name="useWord2013TrackBottomHyphenation" w:uri="http://schemas.microsoft.com/office/word" w:val="1"/>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tr-T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75860"/>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tr-TR" w:eastAsia="en-US" w:bidi="ar-SA"/>
    </w:rPr>
  </w:style>
  <w:style w:type="character" w:styleId="DefaultParagraphFont" w:default="1">
    <w:name w:val="Default Paragraph Font"/>
    <w:uiPriority w:val="1"/>
    <w:semiHidden/>
    <w:unhideWhenUsed/>
    <w:qFormat/>
    <w:rPr/>
  </w:style>
  <w:style w:type="character" w:styleId="StBilgiChar" w:customStyle="1">
    <w:name w:val="Üst Bilgi Char"/>
    <w:basedOn w:val="DefaultParagraphFont"/>
    <w:link w:val="stBilgi"/>
    <w:uiPriority w:val="99"/>
    <w:qFormat/>
    <w:rsid w:val="0024115c"/>
    <w:rPr/>
  </w:style>
  <w:style w:type="character" w:styleId="AltBilgiChar" w:customStyle="1">
    <w:name w:val="Alt Bilgi Char"/>
    <w:basedOn w:val="DefaultParagraphFont"/>
    <w:link w:val="AltBilgi"/>
    <w:uiPriority w:val="99"/>
    <w:qFormat/>
    <w:rsid w:val="0024115c"/>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WW8Num8z0">
    <w:name w:val="WW8Num8z0"/>
    <w:qFormat/>
    <w:rPr>
      <w:lang w:val="tr-TR"/>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3z0">
    <w:name w:val="WW8Num3z0"/>
    <w:qFormat/>
    <w:rPr>
      <w:lang w:val="tr-TR"/>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6z0">
    <w:name w:val="WW8Num6z0"/>
    <w:qFormat/>
    <w:rPr>
      <w:rFonts w:cs="Segoe UI"/>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NternetBalants">
    <w:name w:val="İnternet Bağlantısı"/>
    <w:rPr>
      <w:color w:val="000080"/>
      <w:u w:val="single"/>
      <w:lang w:val="zxx" w:eastAsia="zxx" w:bidi="zxx"/>
    </w:rPr>
  </w:style>
  <w:style w:type="character" w:styleId="WW8Num2z0">
    <w:name w:val="WW8Num2z0"/>
    <w:qFormat/>
    <w:rPr>
      <w:rFonts w:cs="Times New Roman"/>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4z0">
    <w:name w:val="WW8Num4z0"/>
    <w:qFormat/>
    <w:rPr>
      <w:rFonts w:cs="Times New Roman"/>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1z0">
    <w:name w:val="WW8Num1z0"/>
    <w:qFormat/>
    <w:rPr>
      <w:rFonts w:cs="Times New Roman"/>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paragraph" w:styleId="Balk">
    <w:name w:val="Başlık"/>
    <w:basedOn w:val="Normal"/>
    <w:next w:val="MetinGvdesi"/>
    <w:qFormat/>
    <w:pPr>
      <w:keepNext w:val="true"/>
      <w:spacing w:before="240" w:after="120"/>
    </w:pPr>
    <w:rPr>
      <w:rFonts w:ascii="Liberation Sans" w:hAnsi="Liberation Sans" w:eastAsia="Microsoft YaHei" w:cs="Arial"/>
      <w:sz w:val="28"/>
      <w:szCs w:val="28"/>
    </w:rPr>
  </w:style>
  <w:style w:type="paragraph" w:styleId="MetinGvdesi">
    <w:name w:val="Body Text"/>
    <w:basedOn w:val="Normal"/>
    <w:pPr>
      <w:spacing w:lineRule="auto" w:line="288" w:before="0" w:after="140"/>
    </w:pPr>
    <w:rPr/>
  </w:style>
  <w:style w:type="paragraph" w:styleId="Liste">
    <w:name w:val="List"/>
    <w:basedOn w:val="MetinGvdesi"/>
    <w:pPr/>
    <w:rPr>
      <w:rFonts w:cs="Arial"/>
    </w:rPr>
  </w:style>
  <w:style w:type="paragraph" w:styleId="ResimYazs">
    <w:name w:val="Caption"/>
    <w:basedOn w:val="Normal"/>
    <w:qFormat/>
    <w:pPr>
      <w:suppressLineNumbers/>
      <w:spacing w:before="120" w:after="120"/>
    </w:pPr>
    <w:rPr>
      <w:rFonts w:cs="Arial"/>
      <w:i/>
      <w:iCs/>
      <w:sz w:val="24"/>
      <w:szCs w:val="24"/>
    </w:rPr>
  </w:style>
  <w:style w:type="paragraph" w:styleId="Dizin">
    <w:name w:val="Dizin"/>
    <w:basedOn w:val="Normal"/>
    <w:qFormat/>
    <w:pPr>
      <w:suppressLineNumbers/>
    </w:pPr>
    <w:rPr>
      <w:rFonts w:cs="Arial"/>
    </w:rPr>
  </w:style>
  <w:style w:type="paragraph" w:styleId="Stbilgi">
    <w:name w:val="Header"/>
    <w:basedOn w:val="Normal"/>
    <w:link w:val="stBilgiChar"/>
    <w:uiPriority w:val="99"/>
    <w:unhideWhenUsed/>
    <w:rsid w:val="0024115c"/>
    <w:pPr>
      <w:tabs>
        <w:tab w:val="center" w:pos="4536" w:leader="none"/>
        <w:tab w:val="right" w:pos="9072" w:leader="none"/>
      </w:tabs>
      <w:spacing w:lineRule="auto" w:line="240" w:before="0" w:after="0"/>
    </w:pPr>
    <w:rPr/>
  </w:style>
  <w:style w:type="paragraph" w:styleId="Altbilgi">
    <w:name w:val="Footer"/>
    <w:basedOn w:val="Normal"/>
    <w:link w:val="AltBilgiChar"/>
    <w:uiPriority w:val="99"/>
    <w:unhideWhenUsed/>
    <w:rsid w:val="0024115c"/>
    <w:pPr>
      <w:tabs>
        <w:tab w:val="center" w:pos="4536" w:leader="none"/>
        <w:tab w:val="right" w:pos="9072" w:leader="none"/>
      </w:tabs>
      <w:spacing w:lineRule="auto" w:line="240" w:before="0" w:after="0"/>
    </w:pPr>
    <w:rPr/>
  </w:style>
  <w:style w:type="paragraph" w:styleId="ListParagraph">
    <w:name w:val="List Paragraph"/>
    <w:basedOn w:val="Normal"/>
    <w:uiPriority w:val="34"/>
    <w:qFormat/>
    <w:rsid w:val="00443a08"/>
    <w:pPr>
      <w:spacing w:before="0" w:after="160"/>
      <w:ind w:left="720" w:hanging="0"/>
      <w:contextualSpacing/>
    </w:pPr>
    <w:rPr/>
  </w:style>
  <w:style w:type="paragraph" w:styleId="Ereveerii">
    <w:name w:val="Çerçeve İçeriği"/>
    <w:basedOn w:val="Normal"/>
    <w:qFormat/>
    <w:pPr/>
    <w:rPr/>
  </w:style>
  <w:style w:type="paragraph" w:styleId="Bodytext21">
    <w:name w:val="bodytext21"/>
    <w:basedOn w:val="Normal"/>
    <w:qFormat/>
    <w:pPr>
      <w:overflowPunct w:val="false"/>
      <w:autoSpaceDE w:val="false"/>
      <w:spacing w:lineRule="auto" w:line="240" w:before="0" w:after="0"/>
    </w:pPr>
    <w:rPr>
      <w:rFonts w:ascii="Times New Roman" w:hAnsi="Times New Roman" w:eastAsia="Times New Roman" w:cs="Times New Roman"/>
    </w:rPr>
  </w:style>
  <w:style w:type="paragraph" w:styleId="ListeParagraf">
    <w:name w:val="Liste Paragraf"/>
    <w:basedOn w:val="Normal"/>
    <w:qFormat/>
    <w:pPr>
      <w:spacing w:lineRule="auto" w:line="256" w:before="0" w:after="160"/>
      <w:ind w:left="720" w:hanging="0"/>
      <w:contextualSpacing/>
    </w:pPr>
    <w:rPr>
      <w:rFonts w:ascii="Calibri" w:hAnsi="Calibri" w:eastAsia="Calibri" w:cs="Arial"/>
      <w:lang w:val="en-US"/>
    </w:rPr>
  </w:style>
  <w:style w:type="numbering" w:styleId="NoList" w:default="1">
    <w:name w:val="No List"/>
    <w:uiPriority w:val="99"/>
    <w:semiHidden/>
    <w:unhideWhenUsed/>
    <w:qFormat/>
  </w:style>
  <w:style w:type="numbering" w:styleId="WW8Num8">
    <w:name w:val="WW8Num8"/>
    <w:qFormat/>
  </w:style>
  <w:style w:type="numbering" w:styleId="WW8Num3">
    <w:name w:val="WW8Num3"/>
    <w:qFormat/>
  </w:style>
  <w:style w:type="numbering" w:styleId="WW8Num6">
    <w:name w:val="WW8Num6"/>
    <w:qFormat/>
  </w:style>
  <w:style w:type="numbering" w:styleId="WW8Num2">
    <w:name w:val="WW8Num2"/>
    <w:qFormat/>
  </w:style>
  <w:style w:type="numbering" w:styleId="WW8Num4">
    <w:name w:val="WW8Num4"/>
    <w:qFormat/>
  </w:style>
  <w:style w:type="numbering" w:styleId="WW8Num1">
    <w:name w:val="WW8Num1"/>
    <w:qFormat/>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ergipark.org.tr/en/pub/tchd/issue/44274/546610" TargetMode="External"/><Relationship Id="rId4" Type="http://schemas.openxmlformats.org/officeDocument/2006/relationships/hyperlink" Target="https://dergipark.org.tr/en/pub/tchd/issue/44416/549939" TargetMode="External"/><Relationship Id="rId5" Type="http://schemas.openxmlformats.org/officeDocument/2006/relationships/hyperlink" Target="http://www.tphd.org.tr/12-ulusal-pediatrik-hematoloji-kongresi-3/" TargetMode="External"/><Relationship Id="rId6" Type="http://schemas.openxmlformats.org/officeDocument/2006/relationships/hyperlink" Target="http://www.tphd.org.tr/12-ulusal-pediatrik-hematoloji-kongresi-3/" TargetMode="External"/><Relationship Id="rId7" Type="http://schemas.openxmlformats.org/officeDocument/2006/relationships/header" Target="head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9AEE0-3694-4655-BB8E-48E0EE046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Application>LibreOffice/5.3.7.2$Windows_X86_64 LibreOffice_project/6b8ed514a9f8b44d37a1b96673cbbdd077e24059</Application>
  <Pages>6</Pages>
  <Words>1583</Words>
  <Characters>9513</Characters>
  <CharactersWithSpaces>11174</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2019-05-23T11:29:00Z</dcterms:created>
  <dc:creator>HÜLYA GÜNGÖR</dc:creator>
  <dc:description/>
  <dc:language>tr-TR</dc:language>
  <cp:lastModifiedBy/>
  <dcterms:modified xsi:type="dcterms:W3CDTF">2021-11-03T14:38:29Z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